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附</w:t>
      </w:r>
      <w:r>
        <w:rPr>
          <w:rFonts w:hint="eastAsia" w:ascii="黑体" w:eastAsia="黑体" w:cs="黑体"/>
          <w:i w:val="0"/>
          <w:color w:val="000000"/>
          <w:kern w:val="0"/>
          <w:sz w:val="32"/>
          <w:szCs w:val="32"/>
          <w:u w:val="none"/>
          <w:lang w:val="en-US" w:eastAsia="zh-CN" w:bidi="ar"/>
        </w:rPr>
        <w:t>件</w:t>
      </w:r>
      <w:r>
        <w:rPr>
          <w:rFonts w:hint="eastAsia" w:ascii="黑体" w:hAnsi="宋体" w:eastAsia="黑体" w:cs="黑体"/>
          <w:i w:val="0"/>
          <w:color w:val="000000"/>
          <w:kern w:val="0"/>
          <w:sz w:val="32"/>
          <w:szCs w:val="32"/>
          <w:u w:val="none"/>
          <w:lang w:val="en-US" w:eastAsia="zh-CN" w:bidi="ar"/>
        </w:rPr>
        <w:t>2</w:t>
      </w:r>
    </w:p>
    <w:p>
      <w:pPr>
        <w:spacing w:line="62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甘肃</w:t>
      </w:r>
      <w:r>
        <w:rPr>
          <w:rFonts w:hint="eastAsia" w:ascii="方正小标宋简体" w:hAnsi="方正小标宋简体" w:eastAsia="方正小标宋简体" w:cs="方正小标宋简体"/>
          <w:b w:val="0"/>
          <w:bCs w:val="0"/>
          <w:color w:val="000000"/>
          <w:sz w:val="44"/>
          <w:szCs w:val="44"/>
        </w:rPr>
        <w:t>省医疗机构制剂“</w:t>
      </w:r>
      <w:r>
        <w:rPr>
          <w:rFonts w:hint="eastAsia" w:ascii="方正小标宋简体" w:hAnsi="方正小标宋简体" w:eastAsia="方正小标宋简体" w:cs="方正小标宋简体"/>
          <w:b w:val="0"/>
          <w:bCs w:val="0"/>
          <w:color w:val="000000"/>
          <w:sz w:val="44"/>
          <w:szCs w:val="44"/>
          <w:lang w:eastAsia="zh-CN"/>
        </w:rPr>
        <w:t>陇药名方</w:t>
      </w:r>
      <w:r>
        <w:rPr>
          <w:rFonts w:hint="eastAsia" w:ascii="方正小标宋简体" w:hAnsi="方正小标宋简体" w:eastAsia="方正小标宋简体" w:cs="方正小标宋简体"/>
          <w:b w:val="0"/>
          <w:bCs w:val="0"/>
          <w:color w:val="000000"/>
          <w:sz w:val="44"/>
          <w:szCs w:val="44"/>
        </w:rPr>
        <w:t>”遴选标准</w:t>
      </w:r>
    </w:p>
    <w:p>
      <w:pPr>
        <w:pStyle w:val="6"/>
        <w:rPr>
          <w:rFonts w:hint="eastAsia"/>
          <w:color w:val="000000"/>
        </w:rPr>
      </w:pPr>
    </w:p>
    <w:tbl>
      <w:tblPr>
        <w:tblStyle w:val="4"/>
        <w:tblW w:w="141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4"/>
        <w:gridCol w:w="3933"/>
        <w:gridCol w:w="1056"/>
        <w:gridCol w:w="6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tblHeader/>
          <w:jc w:val="center"/>
        </w:trPr>
        <w:tc>
          <w:tcPr>
            <w:tcW w:w="2364" w:type="dxa"/>
            <w:tcBorders>
              <w:top w:val="single" w:color="000000" w:sz="8" w:space="0"/>
              <w:left w:val="single" w:color="000000" w:sz="8" w:space="0"/>
              <w:bottom w:val="single" w:color="000000" w:sz="8"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一级指标</w:t>
            </w:r>
          </w:p>
        </w:tc>
        <w:tc>
          <w:tcPr>
            <w:tcW w:w="3933" w:type="dxa"/>
            <w:tcBorders>
              <w:top w:val="single" w:color="000000" w:sz="8" w:space="0"/>
              <w:left w:val="single" w:color="000000" w:sz="4" w:space="0"/>
              <w:bottom w:val="single" w:color="000000" w:sz="8"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1056" w:type="dxa"/>
            <w:tcBorders>
              <w:top w:val="single" w:color="000000" w:sz="8" w:space="0"/>
              <w:left w:val="single" w:color="000000" w:sz="4" w:space="0"/>
              <w:bottom w:val="single" w:color="000000" w:sz="8"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6781" w:type="dxa"/>
            <w:tcBorders>
              <w:top w:val="single" w:color="000000" w:sz="8" w:space="0"/>
              <w:left w:val="single" w:color="000000"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评分标准说明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236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numPr>
                <w:ilvl w:val="0"/>
                <w:numId w:val="0"/>
              </w:numPr>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bidi w:val="0"/>
              <w:adjustRightInd/>
              <w:snapToGri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color w:val="000000"/>
                <w:sz w:val="21"/>
                <w:szCs w:val="21"/>
                <w:lang w:val="en-US" w:eastAsia="zh-CN"/>
              </w:rPr>
            </w:pPr>
          </w:p>
          <w:p>
            <w:pPr>
              <w:keepNext w:val="0"/>
              <w:keepLines w:val="0"/>
              <w:pageBreakBefore w:val="0"/>
              <w:widowControl/>
              <w:numPr>
                <w:ilvl w:val="0"/>
                <w:numId w:val="0"/>
              </w:numPr>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w:t>
            </w:r>
          </w:p>
          <w:p>
            <w:pPr>
              <w:keepNext w:val="0"/>
              <w:keepLines w:val="0"/>
              <w:pageBreakBefore w:val="0"/>
              <w:widowControl/>
              <w:numPr>
                <w:ilvl w:val="0"/>
                <w:numId w:val="0"/>
              </w:numPr>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中医临床评价（60分）</w:t>
            </w: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w:t>
            </w:r>
          </w:p>
          <w:p>
            <w:pPr>
              <w:keepNext w:val="0"/>
              <w:keepLines w:val="0"/>
              <w:pageBreakBefore w:val="0"/>
              <w:widowControl/>
              <w:numPr>
                <w:ilvl w:val="0"/>
                <w:numId w:val="0"/>
              </w:numPr>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中医临床评价（60分）</w:t>
            </w:r>
          </w:p>
          <w:p>
            <w:pPr>
              <w:keepNext w:val="0"/>
              <w:keepLines w:val="0"/>
              <w:pageBreakBefore w:val="0"/>
              <w:widowControl/>
              <w:numPr>
                <w:ilvl w:val="0"/>
                <w:numId w:val="0"/>
              </w:numPr>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color w:val="000000"/>
                <w:sz w:val="21"/>
                <w:szCs w:val="21"/>
                <w:lang w:val="en-US" w:eastAsia="zh-CN"/>
              </w:rPr>
            </w:pPr>
          </w:p>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p>
        </w:tc>
        <w:tc>
          <w:tcPr>
            <w:tcW w:w="3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（1）以中医理论为指导，</w:t>
            </w:r>
            <w:r>
              <w:rPr>
                <w:rStyle w:val="7"/>
                <w:rFonts w:hint="eastAsia" w:ascii="宋体" w:hAnsi="宋体" w:eastAsia="宋体" w:cs="宋体"/>
                <w:b w:val="0"/>
                <w:bCs w:val="0"/>
                <w:color w:val="000000"/>
                <w:sz w:val="21"/>
                <w:szCs w:val="21"/>
                <w:lang w:val="en-US" w:eastAsia="zh-CN" w:bidi="ar"/>
              </w:rPr>
              <w:t>源于名医名方</w:t>
            </w:r>
            <w:r>
              <w:rPr>
                <w:rFonts w:hint="eastAsia" w:ascii="宋体" w:hAnsi="宋体" w:eastAsia="宋体" w:cs="宋体"/>
                <w:b w:val="0"/>
                <w:bCs w:val="0"/>
                <w:i w:val="0"/>
                <w:iCs w:val="0"/>
                <w:color w:val="000000"/>
                <w:kern w:val="0"/>
                <w:sz w:val="21"/>
                <w:szCs w:val="21"/>
                <w:u w:val="none"/>
                <w:lang w:val="en-US" w:eastAsia="zh-CN" w:bidi="ar"/>
              </w:rPr>
              <w:t>，理法方药合理</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67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numPr>
                <w:ilvl w:val="0"/>
                <w:numId w:val="0"/>
              </w:numPr>
              <w:kinsoku/>
              <w:wordWrap/>
              <w:overflowPunct/>
              <w:topLinePunct w:val="0"/>
              <w:bidi w:val="0"/>
              <w:adjustRightInd/>
              <w:snapToGrid/>
              <w:spacing w:line="400" w:lineRule="exact"/>
              <w:ind w:firstLine="421" w:firstLineChars="200"/>
              <w:jc w:val="left"/>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eastAsia="zh-CN"/>
              </w:rPr>
              <w:t>一、源于名医名方：总分</w:t>
            </w:r>
            <w:r>
              <w:rPr>
                <w:rFonts w:hint="eastAsia" w:ascii="宋体" w:hAnsi="宋体" w:eastAsia="宋体" w:cs="宋体"/>
                <w:b/>
                <w:bCs/>
                <w:i w:val="0"/>
                <w:iCs w:val="0"/>
                <w:color w:val="000000"/>
                <w:sz w:val="21"/>
                <w:szCs w:val="21"/>
                <w:u w:val="none"/>
                <w:lang w:val="en-US" w:eastAsia="zh-CN"/>
              </w:rPr>
              <w:t>5分。</w:t>
            </w:r>
          </w:p>
          <w:p>
            <w:pPr>
              <w:keepNext w:val="0"/>
              <w:keepLines w:val="0"/>
              <w:pageBreakBefore w:val="0"/>
              <w:numPr>
                <w:ilvl w:val="0"/>
                <w:numId w:val="0"/>
              </w:numPr>
              <w:kinsoku/>
              <w:wordWrap/>
              <w:overflowPunct/>
              <w:topLinePunct w:val="0"/>
              <w:bidi w:val="0"/>
              <w:adjustRightInd/>
              <w:snapToGrid/>
              <w:spacing w:line="400" w:lineRule="exact"/>
              <w:ind w:firstLine="420" w:firstLineChars="200"/>
              <w:jc w:val="left"/>
              <w:rPr>
                <w:rFonts w:hint="eastAsia" w:ascii="宋体" w:hAnsi="宋体" w:eastAsia="宋体" w:cs="宋体"/>
                <w:b w:val="0"/>
                <w:bCs w:val="0"/>
                <w:color w:val="000000"/>
                <w:kern w:val="0"/>
                <w:sz w:val="21"/>
                <w:szCs w:val="21"/>
                <w:lang w:val="en-US" w:bidi="zh-CN"/>
              </w:rPr>
            </w:pPr>
            <w:r>
              <w:rPr>
                <w:rFonts w:hint="eastAsia" w:ascii="宋体" w:hAnsi="宋体" w:eastAsia="宋体" w:cs="宋体"/>
                <w:b w:val="0"/>
                <w:bCs w:val="0"/>
                <w:i w:val="0"/>
                <w:iCs w:val="0"/>
                <w:color w:val="000000"/>
                <w:sz w:val="21"/>
                <w:szCs w:val="21"/>
                <w:u w:val="none"/>
                <w:lang w:val="en-US" w:eastAsia="zh-CN"/>
              </w:rPr>
              <w:t>（一）</w:t>
            </w:r>
            <w:r>
              <w:rPr>
                <w:rFonts w:hint="eastAsia" w:ascii="宋体" w:hAnsi="宋体" w:eastAsia="宋体" w:cs="宋体"/>
                <w:b w:val="0"/>
                <w:bCs w:val="0"/>
                <w:i w:val="0"/>
                <w:iCs w:val="0"/>
                <w:color w:val="000000"/>
                <w:sz w:val="21"/>
                <w:szCs w:val="21"/>
                <w:u w:val="none"/>
                <w:lang w:eastAsia="zh-CN"/>
              </w:rPr>
              <w:t>处方源于名医，</w:t>
            </w:r>
            <w:r>
              <w:rPr>
                <w:rFonts w:hint="eastAsia" w:ascii="宋体" w:hAnsi="宋体" w:eastAsia="宋体" w:cs="宋体"/>
                <w:b w:val="0"/>
                <w:bCs w:val="0"/>
                <w:i w:val="0"/>
                <w:iCs w:val="0"/>
                <w:color w:val="000000"/>
                <w:sz w:val="21"/>
                <w:szCs w:val="21"/>
                <w:u w:val="none"/>
                <w:lang w:val="en-US" w:eastAsia="zh-CN"/>
              </w:rPr>
              <w:t>3分。</w:t>
            </w:r>
            <w:r>
              <w:rPr>
                <w:rFonts w:hint="eastAsia" w:ascii="宋体" w:hAnsi="宋体" w:eastAsia="宋体" w:cs="宋体"/>
                <w:b w:val="0"/>
                <w:bCs w:val="0"/>
                <w:color w:val="000000"/>
                <w:kern w:val="0"/>
                <w:sz w:val="21"/>
                <w:szCs w:val="21"/>
                <w:lang w:val="en-US" w:bidi="zh-CN"/>
              </w:rPr>
              <w:t>提供者为：1.院士、国医大师，3分；2.全国名中医，2.5分；3.</w:t>
            </w:r>
            <w:r>
              <w:rPr>
                <w:rFonts w:hint="eastAsia" w:ascii="宋体" w:hAnsi="宋体" w:cs="宋体"/>
                <w:b w:val="0"/>
                <w:bCs w:val="0"/>
                <w:color w:val="000000"/>
                <w:kern w:val="0"/>
                <w:sz w:val="21"/>
                <w:szCs w:val="21"/>
                <w:lang w:val="en-US" w:bidi="zh-CN"/>
              </w:rPr>
              <w:t>甘肃</w:t>
            </w:r>
            <w:r>
              <w:rPr>
                <w:rFonts w:hint="eastAsia" w:ascii="宋体" w:hAnsi="宋体" w:eastAsia="宋体" w:cs="宋体"/>
                <w:b w:val="0"/>
                <w:bCs w:val="0"/>
                <w:color w:val="000000"/>
                <w:kern w:val="0"/>
                <w:sz w:val="21"/>
                <w:szCs w:val="21"/>
                <w:lang w:val="en-US" w:bidi="zh-CN"/>
              </w:rPr>
              <w:t>省名中医，2分；4.主任中医师，1.5分；5.副主任中医师及其以下，1分。</w:t>
            </w:r>
          </w:p>
          <w:p>
            <w:pPr>
              <w:numPr>
                <w:ilvl w:val="0"/>
                <w:numId w:val="0"/>
              </w:numPr>
              <w:spacing w:line="400" w:lineRule="exact"/>
              <w:ind w:firstLine="420" w:firstLineChars="200"/>
              <w:jc w:val="left"/>
              <w:rPr>
                <w:rFonts w:hint="eastAsia" w:ascii="宋体" w:hAnsi="宋体" w:eastAsia="宋体" w:cs="宋体"/>
                <w:color w:val="000000"/>
                <w:kern w:val="0"/>
                <w:sz w:val="21"/>
                <w:szCs w:val="21"/>
                <w:lang w:bidi="zh-CN"/>
              </w:rPr>
            </w:pPr>
            <w:r>
              <w:rPr>
                <w:rFonts w:hint="eastAsia" w:ascii="宋体" w:hAnsi="宋体" w:eastAsia="宋体" w:cs="宋体"/>
                <w:color w:val="000000"/>
                <w:kern w:val="0"/>
                <w:sz w:val="21"/>
                <w:szCs w:val="21"/>
                <w:lang w:val="en-US" w:bidi="zh-CN"/>
              </w:rPr>
              <w:t>（二）处方提供者所在专科为</w:t>
            </w:r>
            <w:r>
              <w:rPr>
                <w:rFonts w:hint="eastAsia" w:ascii="宋体" w:hAnsi="宋体" w:eastAsia="宋体" w:cs="宋体"/>
                <w:color w:val="000000"/>
                <w:kern w:val="0"/>
                <w:sz w:val="21"/>
                <w:szCs w:val="21"/>
                <w:lang w:bidi="zh-CN"/>
              </w:rPr>
              <w:t>国家临床重点专科或国家中医药管理局重点专科,2分</w:t>
            </w:r>
            <w:r>
              <w:rPr>
                <w:rFonts w:hint="eastAsia" w:ascii="宋体" w:hAnsi="宋体" w:eastAsia="宋体" w:cs="宋体"/>
                <w:color w:val="000000"/>
                <w:kern w:val="0"/>
                <w:sz w:val="21"/>
                <w:szCs w:val="21"/>
                <w:lang w:val="en-US" w:bidi="zh-CN"/>
              </w:rPr>
              <w:t>。</w:t>
            </w:r>
          </w:p>
          <w:p>
            <w:pPr>
              <w:keepNext w:val="0"/>
              <w:keepLines w:val="0"/>
              <w:pageBreakBefore w:val="0"/>
              <w:numPr>
                <w:ilvl w:val="0"/>
                <w:numId w:val="0"/>
              </w:numPr>
              <w:kinsoku/>
              <w:wordWrap/>
              <w:overflowPunct/>
              <w:topLinePunct w:val="0"/>
              <w:bidi w:val="0"/>
              <w:adjustRightInd/>
              <w:snapToGrid/>
              <w:spacing w:line="400" w:lineRule="exact"/>
              <w:ind w:firstLine="421" w:firstLineChars="200"/>
              <w:jc w:val="left"/>
              <w:rPr>
                <w:rFonts w:hint="eastAsia" w:ascii="宋体" w:hAnsi="宋体" w:eastAsia="宋体" w:cs="宋体"/>
                <w:b w:val="0"/>
                <w:bCs w:val="0"/>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二、理法方药合理：总分</w:t>
            </w:r>
            <w:r>
              <w:rPr>
                <w:rFonts w:hint="eastAsia" w:ascii="宋体" w:hAnsi="宋体" w:eastAsia="宋体" w:cs="宋体"/>
                <w:b/>
                <w:bCs/>
                <w:i w:val="0"/>
                <w:iCs w:val="0"/>
                <w:color w:val="000000"/>
                <w:sz w:val="21"/>
                <w:szCs w:val="21"/>
                <w:u w:val="none"/>
                <w:lang w:val="en-US" w:eastAsia="zh-CN"/>
              </w:rPr>
              <w:t>5分</w:t>
            </w:r>
            <w:r>
              <w:rPr>
                <w:rFonts w:hint="eastAsia" w:ascii="宋体" w:hAnsi="宋体" w:eastAsia="宋体" w:cs="宋体"/>
                <w:b/>
                <w:bCs/>
                <w:i w:val="0"/>
                <w:iCs w:val="0"/>
                <w:color w:val="000000"/>
                <w:sz w:val="21"/>
                <w:szCs w:val="21"/>
                <w:u w:val="none"/>
                <w:lang w:eastAsia="zh-CN"/>
              </w:rPr>
              <w:t>。</w:t>
            </w:r>
            <w:r>
              <w:rPr>
                <w:rFonts w:hint="eastAsia" w:ascii="宋体" w:hAnsi="宋体" w:eastAsia="宋体" w:cs="宋体"/>
                <w:b w:val="0"/>
                <w:bCs w:val="0"/>
                <w:i w:val="0"/>
                <w:iCs w:val="0"/>
                <w:color w:val="000000"/>
                <w:sz w:val="21"/>
                <w:szCs w:val="21"/>
                <w:u w:val="none"/>
                <w:lang w:val="en-US" w:eastAsia="zh-CN"/>
              </w:rPr>
              <w:t>1.治则治法有明确的中医理论支持，2分；2.适用人群及临床定位明确，2分；3.处方精当，1分。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2364"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jc w:val="center"/>
              <w:rPr>
                <w:rFonts w:hint="eastAsia" w:ascii="宋体" w:hAnsi="宋体" w:eastAsia="宋体" w:cs="宋体"/>
                <w:b/>
                <w:bCs/>
                <w:i w:val="0"/>
                <w:iCs w:val="0"/>
                <w:color w:val="000000"/>
                <w:sz w:val="21"/>
                <w:szCs w:val="21"/>
                <w:u w:val="none"/>
              </w:rPr>
            </w:pPr>
          </w:p>
        </w:tc>
        <w:tc>
          <w:tcPr>
            <w:tcW w:w="3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color w:val="000000"/>
                <w:kern w:val="0"/>
                <w:sz w:val="21"/>
                <w:szCs w:val="21"/>
                <w:lang w:bidi="ar"/>
              </w:rPr>
              <w:t>（2）可满足其他临床药品未能满足的临床需求；与</w:t>
            </w:r>
            <w:r>
              <w:rPr>
                <w:rFonts w:hint="eastAsia" w:ascii="宋体" w:hAnsi="宋体" w:cs="宋体"/>
                <w:color w:val="000000"/>
                <w:kern w:val="0"/>
                <w:sz w:val="21"/>
                <w:szCs w:val="21"/>
                <w:lang w:eastAsia="zh-CN" w:bidi="ar"/>
              </w:rPr>
              <w:t>甘肃</w:t>
            </w:r>
            <w:r>
              <w:rPr>
                <w:rFonts w:hint="eastAsia" w:ascii="宋体" w:hAnsi="宋体" w:eastAsia="宋体" w:cs="宋体"/>
                <w:color w:val="000000"/>
                <w:kern w:val="0"/>
                <w:sz w:val="21"/>
                <w:szCs w:val="21"/>
                <w:lang w:bidi="ar"/>
              </w:rPr>
              <w:t>省内同病种比较，待遴选制剂在临床疗效和</w:t>
            </w:r>
            <w:r>
              <w:rPr>
                <w:rFonts w:hint="eastAsia" w:ascii="宋体" w:hAnsi="宋体" w:eastAsia="宋体" w:cs="宋体"/>
                <w:color w:val="000000"/>
                <w:kern w:val="0"/>
                <w:sz w:val="21"/>
                <w:szCs w:val="21"/>
                <w:highlight w:val="none"/>
                <w:lang w:bidi="ar"/>
              </w:rPr>
              <w:t>药物经济学等有明</w:t>
            </w:r>
            <w:r>
              <w:rPr>
                <w:rFonts w:hint="eastAsia" w:ascii="宋体" w:hAnsi="宋体" w:eastAsia="宋体" w:cs="宋体"/>
                <w:color w:val="000000"/>
                <w:kern w:val="0"/>
                <w:sz w:val="21"/>
                <w:szCs w:val="21"/>
                <w:lang w:bidi="ar"/>
              </w:rPr>
              <w:t>显优势</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67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numPr>
                <w:ilvl w:val="0"/>
                <w:numId w:val="0"/>
              </w:numPr>
              <w:kinsoku/>
              <w:wordWrap/>
              <w:overflowPunct/>
              <w:topLinePunct w:val="0"/>
              <w:bidi w:val="0"/>
              <w:adjustRightInd/>
              <w:snapToGrid/>
              <w:spacing w:line="400" w:lineRule="exact"/>
              <w:ind w:firstLine="421" w:firstLineChars="200"/>
              <w:rPr>
                <w:rFonts w:hint="eastAsia" w:ascii="宋体" w:hAnsi="宋体" w:eastAsia="宋体" w:cs="宋体"/>
                <w:bCs/>
                <w:color w:val="000000"/>
                <w:sz w:val="21"/>
                <w:szCs w:val="21"/>
                <w:lang w:val="en-US" w:eastAsia="zh-CN"/>
              </w:rPr>
            </w:pPr>
            <w:r>
              <w:rPr>
                <w:rFonts w:hint="eastAsia" w:ascii="宋体" w:hAnsi="宋体" w:eastAsia="宋体" w:cs="宋体"/>
                <w:b/>
                <w:bCs w:val="0"/>
                <w:color w:val="000000"/>
                <w:sz w:val="21"/>
                <w:szCs w:val="21"/>
                <w:lang w:eastAsia="zh-CN"/>
              </w:rPr>
              <w:t>一、满足临床需求：总分</w:t>
            </w:r>
            <w:r>
              <w:rPr>
                <w:rFonts w:hint="eastAsia" w:ascii="宋体" w:hAnsi="宋体" w:eastAsia="宋体" w:cs="宋体"/>
                <w:b/>
                <w:bCs w:val="0"/>
                <w:color w:val="000000"/>
                <w:sz w:val="21"/>
                <w:szCs w:val="21"/>
                <w:lang w:val="en-US" w:eastAsia="zh-CN"/>
              </w:rPr>
              <w:t>5分</w:t>
            </w:r>
            <w:r>
              <w:rPr>
                <w:rFonts w:hint="eastAsia" w:ascii="宋体" w:hAnsi="宋体" w:eastAsia="宋体" w:cs="宋体"/>
                <w:b/>
                <w:bCs w:val="0"/>
                <w:color w:val="000000"/>
                <w:sz w:val="21"/>
                <w:szCs w:val="21"/>
                <w:lang w:eastAsia="zh-CN"/>
              </w:rPr>
              <w:t>。</w:t>
            </w: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lang w:eastAsia="zh-CN"/>
              </w:rPr>
              <w:t>目前无其他药物治疗手段的，</w:t>
            </w:r>
            <w:r>
              <w:rPr>
                <w:rFonts w:hint="eastAsia" w:ascii="宋体" w:hAnsi="宋体" w:eastAsia="宋体" w:cs="宋体"/>
                <w:bCs/>
                <w:color w:val="000000"/>
                <w:sz w:val="21"/>
                <w:szCs w:val="21"/>
                <w:lang w:val="en-US" w:eastAsia="zh-CN"/>
              </w:rPr>
              <w:t>4-5分</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lang w:val="en-US" w:eastAsia="zh-CN"/>
              </w:rPr>
              <w:t>2.治疗效果优于其他已上市药品的，2-3分；3.与临床公认治疗药物相比，有可替代性，1分。</w:t>
            </w:r>
          </w:p>
          <w:p>
            <w:pPr>
              <w:keepNext w:val="0"/>
              <w:keepLines w:val="0"/>
              <w:pageBreakBefore w:val="0"/>
              <w:kinsoku/>
              <w:wordWrap/>
              <w:overflowPunct/>
              <w:topLinePunct w:val="0"/>
              <w:bidi w:val="0"/>
              <w:adjustRightInd/>
              <w:snapToGrid/>
              <w:spacing w:line="400" w:lineRule="exact"/>
              <w:ind w:firstLine="421" w:firstLineChars="200"/>
              <w:jc w:val="left"/>
              <w:rPr>
                <w:rFonts w:hint="eastAsia" w:ascii="宋体" w:hAnsi="宋体" w:eastAsia="宋体" w:cs="宋体"/>
                <w:b w:val="0"/>
                <w:bCs w:val="0"/>
                <w:i w:val="0"/>
                <w:iCs w:val="0"/>
                <w:color w:val="000000"/>
                <w:sz w:val="21"/>
                <w:szCs w:val="21"/>
                <w:u w:val="none"/>
                <w:lang w:eastAsia="zh-CN"/>
              </w:rPr>
            </w:pPr>
            <w:r>
              <w:rPr>
                <w:rFonts w:hint="eastAsia" w:ascii="宋体" w:hAnsi="宋体" w:eastAsia="宋体" w:cs="宋体"/>
                <w:b/>
                <w:bCs/>
                <w:color w:val="000000"/>
                <w:sz w:val="21"/>
                <w:szCs w:val="21"/>
                <w:lang w:val="en-US" w:eastAsia="zh-CN"/>
              </w:rPr>
              <w:t>二、具有</w:t>
            </w:r>
            <w:r>
              <w:rPr>
                <w:rFonts w:hint="eastAsia" w:ascii="宋体" w:hAnsi="宋体" w:eastAsia="宋体" w:cs="宋体"/>
                <w:b/>
                <w:bCs/>
                <w:color w:val="000000"/>
                <w:sz w:val="21"/>
                <w:szCs w:val="21"/>
                <w:lang w:eastAsia="zh-CN"/>
              </w:rPr>
              <w:t>治疗优势：总分</w:t>
            </w:r>
            <w:r>
              <w:rPr>
                <w:rFonts w:hint="eastAsia" w:ascii="宋体" w:hAnsi="宋体" w:eastAsia="宋体" w:cs="宋体"/>
                <w:b/>
                <w:bCs/>
                <w:color w:val="000000"/>
                <w:sz w:val="21"/>
                <w:szCs w:val="21"/>
                <w:lang w:val="en-US" w:eastAsia="zh-CN"/>
              </w:rPr>
              <w:t>5分</w:t>
            </w:r>
            <w:r>
              <w:rPr>
                <w:rFonts w:hint="eastAsia" w:ascii="宋体" w:hAnsi="宋体" w:eastAsia="宋体" w:cs="宋体"/>
                <w:b/>
                <w:bCs/>
                <w:color w:val="000000"/>
                <w:sz w:val="21"/>
                <w:szCs w:val="21"/>
                <w:lang w:eastAsia="zh-CN"/>
              </w:rPr>
              <w:t>。</w:t>
            </w:r>
            <w:r>
              <w:rPr>
                <w:rFonts w:hint="eastAsia" w:ascii="宋体" w:hAnsi="宋体" w:eastAsia="宋体" w:cs="宋体"/>
                <w:b w:val="0"/>
                <w:bCs w:val="0"/>
                <w:color w:val="000000"/>
                <w:sz w:val="21"/>
                <w:szCs w:val="21"/>
                <w:lang w:val="en-US" w:eastAsia="zh-CN"/>
              </w:rPr>
              <w:t>1.临床疗效有明显优势，改善疾病预后的4-5分；1.临床疗效有优势，改善疾病症状、体征，或提高生活质量的，2-3分；3.临床疗效与现有药物相当，但具有药物经济学优势，1分。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2364"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jc w:val="center"/>
              <w:rPr>
                <w:rFonts w:hint="eastAsia" w:ascii="宋体" w:hAnsi="宋体" w:eastAsia="宋体" w:cs="宋体"/>
                <w:b/>
                <w:bCs/>
                <w:i w:val="0"/>
                <w:iCs w:val="0"/>
                <w:color w:val="000000"/>
                <w:sz w:val="21"/>
                <w:szCs w:val="21"/>
                <w:u w:val="none"/>
              </w:rPr>
            </w:pPr>
          </w:p>
        </w:tc>
        <w:tc>
          <w:tcPr>
            <w:tcW w:w="3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color w:val="000000"/>
                <w:kern w:val="0"/>
                <w:sz w:val="21"/>
                <w:szCs w:val="21"/>
                <w:lang w:bidi="ar"/>
              </w:rPr>
              <w:t>制剂基于</w:t>
            </w:r>
            <w:r>
              <w:rPr>
                <w:rFonts w:hint="eastAsia" w:ascii="宋体" w:hAnsi="宋体" w:cs="宋体"/>
                <w:color w:val="000000"/>
                <w:kern w:val="0"/>
                <w:sz w:val="21"/>
                <w:szCs w:val="21"/>
                <w:lang w:eastAsia="zh-CN" w:bidi="ar"/>
              </w:rPr>
              <w:t>甘肃</w:t>
            </w:r>
            <w:r>
              <w:rPr>
                <w:rFonts w:hint="eastAsia" w:ascii="宋体" w:hAnsi="宋体" w:eastAsia="宋体" w:cs="宋体"/>
                <w:color w:val="000000"/>
                <w:kern w:val="0"/>
                <w:sz w:val="21"/>
                <w:szCs w:val="21"/>
                <w:lang w:bidi="ar"/>
              </w:rPr>
              <w:t>中医学术传承/学术流派</w:t>
            </w:r>
            <w:r>
              <w:rPr>
                <w:rFonts w:hint="eastAsia" w:ascii="宋体" w:hAnsi="宋体" w:eastAsia="宋体" w:cs="宋体"/>
                <w:b w:val="0"/>
                <w:bCs w:val="0"/>
                <w:i w:val="0"/>
                <w:iCs w:val="0"/>
                <w:color w:val="000000"/>
                <w:kern w:val="0"/>
                <w:sz w:val="21"/>
                <w:szCs w:val="21"/>
                <w:u w:val="none"/>
                <w:lang w:val="en-US" w:eastAsia="zh-CN" w:bidi="ar"/>
              </w:rPr>
              <w:t>，或处方中含有</w:t>
            </w:r>
            <w:r>
              <w:rPr>
                <w:rFonts w:hint="eastAsia" w:ascii="宋体" w:hAnsi="宋体" w:cs="宋体"/>
                <w:b w:val="0"/>
                <w:bCs w:val="0"/>
                <w:i w:val="0"/>
                <w:iCs w:val="0"/>
                <w:color w:val="000000"/>
                <w:kern w:val="0"/>
                <w:sz w:val="21"/>
                <w:szCs w:val="21"/>
                <w:u w:val="none"/>
                <w:lang w:val="en-US" w:eastAsia="zh-CN" w:bidi="ar"/>
              </w:rPr>
              <w:t>甘肃</w:t>
            </w:r>
            <w:r>
              <w:rPr>
                <w:rFonts w:hint="eastAsia" w:ascii="宋体" w:hAnsi="宋体" w:eastAsia="宋体" w:cs="宋体"/>
                <w:b w:val="0"/>
                <w:bCs w:val="0"/>
                <w:i w:val="0"/>
                <w:iCs w:val="0"/>
                <w:color w:val="000000"/>
                <w:kern w:val="0"/>
                <w:sz w:val="21"/>
                <w:szCs w:val="21"/>
                <w:u w:val="none"/>
                <w:lang w:val="en-US" w:eastAsia="zh-CN" w:bidi="ar"/>
              </w:rPr>
              <w:t>特色药材、含有的药材使用</w:t>
            </w:r>
            <w:r>
              <w:rPr>
                <w:rFonts w:hint="eastAsia" w:ascii="宋体" w:hAnsi="宋体" w:cs="宋体"/>
                <w:b w:val="0"/>
                <w:bCs w:val="0"/>
                <w:i w:val="0"/>
                <w:iCs w:val="0"/>
                <w:color w:val="000000"/>
                <w:kern w:val="0"/>
                <w:sz w:val="21"/>
                <w:szCs w:val="21"/>
                <w:u w:val="none"/>
                <w:lang w:val="en-US" w:eastAsia="zh-CN" w:bidi="ar"/>
              </w:rPr>
              <w:t>甘肃</w:t>
            </w:r>
            <w:r>
              <w:rPr>
                <w:rFonts w:hint="eastAsia" w:ascii="宋体" w:hAnsi="宋体" w:eastAsia="宋体" w:cs="宋体"/>
                <w:b w:val="0"/>
                <w:bCs w:val="0"/>
                <w:i w:val="0"/>
                <w:iCs w:val="0"/>
                <w:color w:val="000000"/>
                <w:kern w:val="0"/>
                <w:sz w:val="21"/>
                <w:szCs w:val="21"/>
                <w:u w:val="none"/>
                <w:lang w:val="en-US" w:eastAsia="zh-CN" w:bidi="ar"/>
              </w:rPr>
              <w:t>特色炮制方法</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6781" w:type="dxa"/>
            <w:tcBorders>
              <w:top w:val="single" w:color="000000" w:sz="8" w:space="0"/>
              <w:left w:val="single" w:color="000000" w:sz="8" w:space="0"/>
              <w:bottom w:val="single" w:color="000000" w:sz="8" w:space="0"/>
              <w:right w:val="single" w:color="000000" w:sz="8" w:space="0"/>
            </w:tcBorders>
            <w:noWrap w:val="0"/>
            <w:vAlign w:val="center"/>
          </w:tcPr>
          <w:p>
            <w:pPr>
              <w:autoSpaceDE w:val="0"/>
              <w:autoSpaceDN w:val="0"/>
              <w:spacing w:before="54" w:line="400" w:lineRule="exact"/>
              <w:ind w:firstLine="421" w:firstLineChars="200"/>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一、制剂基于</w:t>
            </w:r>
            <w:r>
              <w:rPr>
                <w:rFonts w:hint="eastAsia" w:ascii="宋体" w:hAnsi="宋体" w:cs="宋体"/>
                <w:b/>
                <w:color w:val="000000"/>
                <w:sz w:val="21"/>
                <w:szCs w:val="21"/>
                <w:lang w:eastAsia="zh-CN"/>
              </w:rPr>
              <w:t>甘肃</w:t>
            </w:r>
            <w:r>
              <w:rPr>
                <w:rFonts w:hint="eastAsia" w:ascii="宋体" w:hAnsi="宋体" w:eastAsia="宋体" w:cs="宋体"/>
                <w:b/>
                <w:color w:val="000000"/>
                <w:sz w:val="21"/>
                <w:szCs w:val="21"/>
              </w:rPr>
              <w:t>中医学术传承/学术流派，2分。</w:t>
            </w:r>
          </w:p>
          <w:p>
            <w:pPr>
              <w:keepNext w:val="0"/>
              <w:keepLines w:val="0"/>
              <w:pageBreakBefore w:val="0"/>
              <w:kinsoku/>
              <w:wordWrap/>
              <w:overflowPunct/>
              <w:topLinePunct w:val="0"/>
              <w:autoSpaceDE w:val="0"/>
              <w:autoSpaceDN w:val="0"/>
              <w:bidi w:val="0"/>
              <w:adjustRightInd/>
              <w:snapToGrid/>
              <w:spacing w:before="54" w:line="400" w:lineRule="exact"/>
              <w:ind w:firstLine="421" w:firstLineChars="200"/>
              <w:jc w:val="left"/>
              <w:rPr>
                <w:rFonts w:hint="eastAsia" w:ascii="宋体" w:hAnsi="宋体" w:eastAsia="宋体" w:cs="宋体"/>
                <w:b/>
                <w:bCs w:val="0"/>
                <w:color w:val="000000"/>
                <w:kern w:val="0"/>
                <w:sz w:val="21"/>
                <w:szCs w:val="21"/>
                <w:lang w:val="zh-CN" w:bidi="zh-CN"/>
              </w:rPr>
            </w:pPr>
            <w:r>
              <w:rPr>
                <w:rFonts w:hint="eastAsia" w:ascii="宋体" w:hAnsi="宋体" w:eastAsia="宋体" w:cs="宋体"/>
                <w:b/>
                <w:bCs w:val="0"/>
                <w:color w:val="000000"/>
                <w:sz w:val="21"/>
                <w:szCs w:val="21"/>
                <w:lang w:val="en-US" w:eastAsia="zh-CN"/>
              </w:rPr>
              <w:t>二、</w:t>
            </w:r>
            <w:r>
              <w:rPr>
                <w:rFonts w:hint="eastAsia" w:ascii="宋体" w:hAnsi="宋体" w:eastAsia="宋体" w:cs="宋体"/>
                <w:b/>
                <w:bCs w:val="0"/>
                <w:color w:val="000000"/>
                <w:kern w:val="0"/>
                <w:sz w:val="21"/>
                <w:szCs w:val="21"/>
                <w:lang w:val="en-US" w:bidi="zh-CN"/>
              </w:rPr>
              <w:t>处方中含有</w:t>
            </w:r>
            <w:r>
              <w:rPr>
                <w:rFonts w:hint="eastAsia" w:ascii="宋体" w:hAnsi="宋体" w:cs="宋体"/>
                <w:b/>
                <w:bCs w:val="0"/>
                <w:color w:val="000000"/>
                <w:kern w:val="0"/>
                <w:sz w:val="21"/>
                <w:szCs w:val="21"/>
                <w:lang w:val="zh-CN" w:bidi="zh-CN"/>
              </w:rPr>
              <w:t>甘肃</w:t>
            </w:r>
            <w:r>
              <w:rPr>
                <w:rFonts w:hint="eastAsia" w:ascii="宋体" w:hAnsi="宋体" w:eastAsia="宋体" w:cs="宋体"/>
                <w:b/>
                <w:bCs w:val="0"/>
                <w:color w:val="000000"/>
                <w:kern w:val="0"/>
                <w:sz w:val="21"/>
                <w:szCs w:val="21"/>
                <w:lang w:val="zh-CN" w:bidi="zh-CN"/>
              </w:rPr>
              <w:t>特色药材，</w:t>
            </w:r>
            <w:r>
              <w:rPr>
                <w:rFonts w:hint="eastAsia" w:ascii="宋体" w:hAnsi="宋体" w:eastAsia="宋体" w:cs="宋体"/>
                <w:b/>
                <w:bCs w:val="0"/>
                <w:color w:val="000000"/>
                <w:kern w:val="0"/>
                <w:sz w:val="21"/>
                <w:szCs w:val="21"/>
                <w:lang w:val="en-US" w:bidi="zh-CN"/>
              </w:rPr>
              <w:t>1.5分</w:t>
            </w:r>
            <w:r>
              <w:rPr>
                <w:rFonts w:hint="eastAsia" w:ascii="宋体" w:hAnsi="宋体" w:eastAsia="宋体" w:cs="宋体"/>
                <w:b/>
                <w:bCs w:val="0"/>
                <w:color w:val="000000"/>
                <w:kern w:val="0"/>
                <w:sz w:val="21"/>
                <w:szCs w:val="21"/>
                <w:lang w:val="zh-CN" w:bidi="zh-CN"/>
              </w:rPr>
              <w:t>。</w:t>
            </w:r>
          </w:p>
          <w:p>
            <w:pPr>
              <w:keepNext w:val="0"/>
              <w:keepLines w:val="0"/>
              <w:pageBreakBefore w:val="0"/>
              <w:kinsoku/>
              <w:wordWrap/>
              <w:overflowPunct/>
              <w:topLinePunct w:val="0"/>
              <w:bidi w:val="0"/>
              <w:adjustRightInd/>
              <w:snapToGrid/>
              <w:spacing w:line="400" w:lineRule="exact"/>
              <w:ind w:firstLine="421" w:firstLineChars="20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bCs w:val="0"/>
                <w:color w:val="000000"/>
                <w:kern w:val="0"/>
                <w:sz w:val="21"/>
                <w:szCs w:val="21"/>
                <w:lang w:val="en-US" w:bidi="zh-CN"/>
              </w:rPr>
              <w:t>三、处方中含有的药材使用</w:t>
            </w:r>
            <w:r>
              <w:rPr>
                <w:rFonts w:hint="eastAsia" w:ascii="宋体" w:hAnsi="宋体" w:cs="宋体"/>
                <w:b/>
                <w:bCs w:val="0"/>
                <w:color w:val="000000"/>
                <w:kern w:val="0"/>
                <w:sz w:val="21"/>
                <w:szCs w:val="21"/>
                <w:lang w:val="en-US" w:bidi="zh-CN"/>
              </w:rPr>
              <w:t>甘肃</w:t>
            </w:r>
            <w:r>
              <w:rPr>
                <w:rFonts w:hint="eastAsia" w:ascii="宋体" w:hAnsi="宋体" w:eastAsia="宋体" w:cs="宋体"/>
                <w:b/>
                <w:bCs w:val="0"/>
                <w:color w:val="000000"/>
                <w:kern w:val="0"/>
                <w:sz w:val="21"/>
                <w:szCs w:val="21"/>
                <w:lang w:val="en-US" w:bidi="zh-CN"/>
              </w:rPr>
              <w:t>特色炮制方法，1.5分。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2364"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p>
        </w:tc>
        <w:tc>
          <w:tcPr>
            <w:tcW w:w="3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（4）具有</w:t>
            </w:r>
            <w:r>
              <w:rPr>
                <w:rFonts w:hint="eastAsia" w:ascii="宋体" w:hAnsi="宋体" w:cs="宋体"/>
                <w:b w:val="0"/>
                <w:bCs w:val="0"/>
                <w:i w:val="0"/>
                <w:iCs w:val="0"/>
                <w:color w:val="000000"/>
                <w:kern w:val="0"/>
                <w:sz w:val="21"/>
                <w:szCs w:val="21"/>
                <w:u w:val="none"/>
                <w:lang w:val="en-US" w:eastAsia="zh-CN" w:bidi="ar"/>
              </w:rPr>
              <w:t>3</w:t>
            </w:r>
            <w:r>
              <w:rPr>
                <w:rFonts w:hint="eastAsia" w:ascii="宋体" w:hAnsi="宋体" w:eastAsia="宋体" w:cs="宋体"/>
                <w:b w:val="0"/>
                <w:bCs w:val="0"/>
                <w:i w:val="0"/>
                <w:iCs w:val="0"/>
                <w:color w:val="000000"/>
                <w:kern w:val="0"/>
                <w:sz w:val="21"/>
                <w:szCs w:val="21"/>
                <w:u w:val="none"/>
                <w:lang w:val="en-US" w:eastAsia="zh-CN" w:bidi="ar"/>
              </w:rPr>
              <w:t>年或以上的临床使用历史，且有相关历史资料</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67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ind w:firstLine="421" w:firstLineChars="20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临床使用历史：</w:t>
            </w:r>
            <w:r>
              <w:rPr>
                <w:rFonts w:hint="eastAsia" w:ascii="宋体" w:hAnsi="宋体" w:eastAsia="宋体" w:cs="宋体"/>
                <w:b w:val="0"/>
                <w:bCs w:val="0"/>
                <w:i w:val="0"/>
                <w:iCs w:val="0"/>
                <w:color w:val="000000"/>
                <w:kern w:val="0"/>
                <w:sz w:val="21"/>
                <w:szCs w:val="21"/>
                <w:u w:val="none"/>
                <w:lang w:val="en-US" w:eastAsia="zh-CN" w:bidi="ar"/>
              </w:rPr>
              <w:t>1</w:t>
            </w:r>
            <w:r>
              <w:rPr>
                <w:rFonts w:hint="eastAsia" w:ascii="宋体" w:hAnsi="宋体" w:eastAsia="宋体" w:cs="宋体"/>
                <w:bCs/>
                <w:color w:val="000000"/>
                <w:sz w:val="21"/>
                <w:szCs w:val="21"/>
                <w:lang w:val="en-US" w:eastAsia="zh-CN"/>
              </w:rPr>
              <w:t>.使用</w:t>
            </w:r>
            <w:r>
              <w:rPr>
                <w:rFonts w:hint="eastAsia" w:ascii="宋体" w:hAnsi="宋体" w:eastAsia="宋体" w:cs="宋体"/>
                <w:b w:val="0"/>
                <w:bCs w:val="0"/>
                <w:i w:val="0"/>
                <w:iCs w:val="0"/>
                <w:color w:val="000000"/>
                <w:kern w:val="0"/>
                <w:sz w:val="21"/>
                <w:szCs w:val="21"/>
                <w:u w:val="none"/>
                <w:lang w:val="en-US" w:eastAsia="zh-CN" w:bidi="ar"/>
              </w:rPr>
              <w:t>＞20年，9-10分；2</w:t>
            </w:r>
            <w:r>
              <w:rPr>
                <w:rFonts w:hint="eastAsia" w:ascii="宋体" w:hAnsi="宋体" w:eastAsia="宋体" w:cs="宋体"/>
                <w:bCs/>
                <w:color w:val="00000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使用16-19年，6-8分；3</w:t>
            </w:r>
            <w:r>
              <w:rPr>
                <w:rFonts w:hint="eastAsia" w:ascii="宋体" w:hAnsi="宋体" w:eastAsia="宋体" w:cs="宋体"/>
                <w:bCs/>
                <w:color w:val="00000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使用10-15年，4-5分；4</w:t>
            </w:r>
            <w:r>
              <w:rPr>
                <w:rFonts w:hint="eastAsia" w:ascii="宋体" w:hAnsi="宋体" w:eastAsia="宋体" w:cs="宋体"/>
                <w:bCs/>
                <w:color w:val="00000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使用</w:t>
            </w:r>
            <w:r>
              <w:rPr>
                <w:rFonts w:hint="eastAsia" w:ascii="宋体" w:hAnsi="宋体" w:cs="宋体"/>
                <w:b w:val="0"/>
                <w:bCs w:val="0"/>
                <w:i w:val="0"/>
                <w:iCs w:val="0"/>
                <w:color w:val="000000"/>
                <w:kern w:val="0"/>
                <w:sz w:val="21"/>
                <w:szCs w:val="21"/>
                <w:u w:val="none"/>
                <w:lang w:val="en-US" w:eastAsia="zh-CN" w:bidi="ar"/>
              </w:rPr>
              <w:t>3</w:t>
            </w:r>
            <w:r>
              <w:rPr>
                <w:rFonts w:hint="eastAsia" w:ascii="宋体" w:hAnsi="宋体" w:eastAsia="宋体" w:cs="宋体"/>
                <w:b w:val="0"/>
                <w:bCs w:val="0"/>
                <w:i w:val="0"/>
                <w:iCs w:val="0"/>
                <w:color w:val="000000"/>
                <w:kern w:val="0"/>
                <w:sz w:val="21"/>
                <w:szCs w:val="21"/>
                <w:u w:val="none"/>
                <w:lang w:val="en-US" w:eastAsia="zh-CN" w:bidi="ar"/>
              </w:rPr>
              <w:t>-9年，3分。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2364"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jc w:val="center"/>
              <w:rPr>
                <w:rFonts w:hint="eastAsia" w:ascii="宋体" w:hAnsi="宋体" w:eastAsia="宋体" w:cs="宋体"/>
                <w:b/>
                <w:bCs/>
                <w:i w:val="0"/>
                <w:iCs w:val="0"/>
                <w:color w:val="000000"/>
                <w:sz w:val="21"/>
                <w:szCs w:val="21"/>
                <w:u w:val="none"/>
              </w:rPr>
            </w:pPr>
          </w:p>
        </w:tc>
        <w:tc>
          <w:tcPr>
            <w:tcW w:w="3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（5）临床使用量大。获批后连续3年使用总量应超过10000个销售包装单位</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67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ind w:firstLine="421" w:firstLineChars="20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bCs w:val="0"/>
                <w:color w:val="000000"/>
                <w:sz w:val="21"/>
                <w:szCs w:val="21"/>
                <w:lang w:val="en-US" w:eastAsia="zh-CN"/>
              </w:rPr>
              <w:t>连续</w:t>
            </w:r>
            <w:r>
              <w:rPr>
                <w:rFonts w:hint="eastAsia" w:ascii="宋体" w:hAnsi="宋体" w:eastAsia="宋体" w:cs="宋体"/>
                <w:b/>
                <w:bCs w:val="0"/>
                <w:i w:val="0"/>
                <w:iCs w:val="0"/>
                <w:color w:val="000000"/>
                <w:kern w:val="0"/>
                <w:sz w:val="21"/>
                <w:szCs w:val="21"/>
                <w:u w:val="none"/>
                <w:lang w:val="en-US" w:eastAsia="zh-CN" w:bidi="ar"/>
              </w:rPr>
              <w:t>3年使用总量：</w:t>
            </w:r>
            <w:r>
              <w:rPr>
                <w:rFonts w:hint="eastAsia" w:ascii="宋体" w:hAnsi="宋体" w:eastAsia="宋体" w:cs="宋体"/>
                <w:b w:val="0"/>
                <w:bCs w:val="0"/>
                <w:i w:val="0"/>
                <w:iCs w:val="0"/>
                <w:color w:val="000000"/>
                <w:kern w:val="0"/>
                <w:sz w:val="21"/>
                <w:szCs w:val="21"/>
                <w:u w:val="none"/>
                <w:lang w:val="en-US" w:eastAsia="zh-CN" w:bidi="ar"/>
              </w:rPr>
              <w:t>1</w:t>
            </w:r>
            <w:r>
              <w:rPr>
                <w:rFonts w:hint="eastAsia" w:ascii="宋体" w:hAnsi="宋体" w:eastAsia="宋体" w:cs="宋体"/>
                <w:bCs/>
                <w:color w:val="00000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累计＞5万，9-10分；2</w:t>
            </w:r>
            <w:r>
              <w:rPr>
                <w:rFonts w:hint="eastAsia" w:ascii="宋体" w:hAnsi="宋体" w:eastAsia="宋体" w:cs="宋体"/>
                <w:bCs/>
                <w:color w:val="00000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累计3-5万，7-8分；3</w:t>
            </w:r>
            <w:r>
              <w:rPr>
                <w:rFonts w:hint="eastAsia" w:ascii="宋体" w:hAnsi="宋体" w:eastAsia="宋体" w:cs="宋体"/>
                <w:bCs/>
                <w:color w:val="00000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累计2-3万，5-6分；4</w:t>
            </w:r>
            <w:r>
              <w:rPr>
                <w:rFonts w:hint="eastAsia" w:ascii="宋体" w:hAnsi="宋体" w:eastAsia="宋体" w:cs="宋体"/>
                <w:bCs/>
                <w:color w:val="00000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累计1-2万，3-4分；5</w:t>
            </w:r>
            <w:r>
              <w:rPr>
                <w:rFonts w:hint="eastAsia" w:ascii="宋体" w:hAnsi="宋体" w:eastAsia="宋体" w:cs="宋体"/>
                <w:bCs/>
                <w:color w:val="00000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累计＜1万，0-2分。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2364"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jc w:val="center"/>
              <w:rPr>
                <w:rFonts w:hint="eastAsia" w:ascii="宋体" w:hAnsi="宋体" w:eastAsia="宋体" w:cs="宋体"/>
                <w:b/>
                <w:bCs/>
                <w:i w:val="0"/>
                <w:iCs w:val="0"/>
                <w:color w:val="000000"/>
                <w:sz w:val="21"/>
                <w:szCs w:val="21"/>
                <w:u w:val="none"/>
              </w:rPr>
            </w:pPr>
          </w:p>
        </w:tc>
        <w:tc>
          <w:tcPr>
            <w:tcW w:w="3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（6）多点使用。在本医疗机构多院区、多个门诊部使用，或曾在医联体内或其他医疗机构调剂使用的</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67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numPr>
                <w:ilvl w:val="0"/>
                <w:numId w:val="0"/>
              </w:numPr>
              <w:kinsoku/>
              <w:wordWrap/>
              <w:overflowPunct/>
              <w:topLinePunct w:val="0"/>
              <w:bidi w:val="0"/>
              <w:adjustRightInd/>
              <w:snapToGrid/>
              <w:spacing w:line="400" w:lineRule="exact"/>
              <w:ind w:firstLine="421" w:firstLineChars="200"/>
              <w:jc w:val="left"/>
              <w:textAlignment w:val="center"/>
              <w:rPr>
                <w:rFonts w:hint="eastAsia" w:ascii="宋体" w:hAnsi="宋体" w:eastAsia="宋体" w:cs="宋体"/>
                <w:color w:val="000000"/>
                <w:sz w:val="21"/>
                <w:szCs w:val="21"/>
              </w:rPr>
            </w:pPr>
            <w:r>
              <w:rPr>
                <w:rFonts w:hint="eastAsia" w:ascii="宋体" w:hAnsi="宋体" w:eastAsia="宋体" w:cs="宋体"/>
                <w:b/>
                <w:bCs/>
                <w:color w:val="000000"/>
                <w:sz w:val="21"/>
                <w:szCs w:val="21"/>
                <w:lang w:val="en-US" w:eastAsia="zh-CN"/>
              </w:rPr>
              <w:t>多点使用：总分5分。</w:t>
            </w:r>
            <w:r>
              <w:rPr>
                <w:rFonts w:hint="eastAsia" w:ascii="宋体" w:hAnsi="宋体" w:eastAsia="宋体" w:cs="宋体"/>
                <w:b w:val="0"/>
                <w:bCs w:val="0"/>
                <w:i w:val="0"/>
                <w:iCs w:val="0"/>
                <w:color w:val="000000"/>
                <w:kern w:val="0"/>
                <w:sz w:val="21"/>
                <w:szCs w:val="21"/>
                <w:u w:val="none"/>
                <w:lang w:val="en-US" w:eastAsia="zh-CN" w:bidi="ar"/>
              </w:rPr>
              <w:t>1.</w:t>
            </w:r>
            <w:r>
              <w:rPr>
                <w:rFonts w:hint="eastAsia" w:ascii="宋体" w:hAnsi="宋体" w:eastAsia="宋体" w:cs="宋体"/>
                <w:color w:val="000000"/>
                <w:sz w:val="21"/>
                <w:szCs w:val="21"/>
                <w:lang w:val="en-US" w:eastAsia="zh-CN"/>
              </w:rPr>
              <w:t>使用点＞3个，3-</w:t>
            </w:r>
            <w:r>
              <w:rPr>
                <w:rFonts w:hint="eastAsia" w:ascii="宋体" w:hAnsi="宋体" w:cs="宋体"/>
                <w:color w:val="000000"/>
                <w:sz w:val="21"/>
                <w:szCs w:val="21"/>
                <w:lang w:val="en-US" w:eastAsia="zh-CN"/>
              </w:rPr>
              <w:t>5</w:t>
            </w:r>
            <w:bookmarkStart w:id="0" w:name="_GoBack"/>
            <w:bookmarkEnd w:id="0"/>
            <w:r>
              <w:rPr>
                <w:rFonts w:hint="eastAsia" w:ascii="宋体" w:hAnsi="宋体" w:eastAsia="宋体" w:cs="宋体"/>
                <w:color w:val="000000"/>
                <w:sz w:val="21"/>
                <w:szCs w:val="21"/>
                <w:lang w:val="en-US" w:eastAsia="zh-CN"/>
              </w:rPr>
              <w:t>分；</w:t>
            </w:r>
            <w:r>
              <w:rPr>
                <w:rFonts w:hint="eastAsia" w:ascii="宋体" w:hAnsi="宋体" w:eastAsia="宋体" w:cs="宋体"/>
                <w:b w:val="0"/>
                <w:bCs w:val="0"/>
                <w:i w:val="0"/>
                <w:iCs w:val="0"/>
                <w:color w:val="000000"/>
                <w:kern w:val="0"/>
                <w:sz w:val="21"/>
                <w:szCs w:val="21"/>
                <w:u w:val="none"/>
                <w:lang w:val="en-US" w:eastAsia="zh-CN" w:bidi="ar"/>
              </w:rPr>
              <w:t>2</w:t>
            </w:r>
            <w:r>
              <w:rPr>
                <w:rFonts w:hint="eastAsia" w:ascii="宋体" w:hAnsi="宋体" w:eastAsia="宋体" w:cs="宋体"/>
                <w:bCs/>
                <w:color w:val="000000"/>
                <w:sz w:val="21"/>
                <w:szCs w:val="21"/>
                <w:lang w:val="en-US" w:eastAsia="zh-CN"/>
              </w:rPr>
              <w:t>.</w:t>
            </w:r>
            <w:r>
              <w:rPr>
                <w:rFonts w:hint="eastAsia" w:ascii="宋体" w:hAnsi="宋体" w:eastAsia="宋体" w:cs="宋体"/>
                <w:color w:val="000000"/>
                <w:sz w:val="21"/>
                <w:szCs w:val="21"/>
                <w:lang w:val="en-US" w:eastAsia="zh-CN"/>
              </w:rPr>
              <w:t>使用点为3个，2.5分；</w:t>
            </w:r>
            <w:r>
              <w:rPr>
                <w:rFonts w:hint="eastAsia"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bCs/>
                <w:color w:val="000000"/>
                <w:sz w:val="21"/>
                <w:szCs w:val="21"/>
                <w:lang w:val="en-US" w:eastAsia="zh-CN"/>
              </w:rPr>
              <w:t>.</w:t>
            </w:r>
            <w:r>
              <w:rPr>
                <w:rFonts w:hint="eastAsia" w:ascii="宋体" w:hAnsi="宋体" w:eastAsia="宋体" w:cs="宋体"/>
                <w:color w:val="000000"/>
                <w:sz w:val="21"/>
                <w:szCs w:val="21"/>
                <w:lang w:val="en-US" w:eastAsia="zh-CN"/>
              </w:rPr>
              <w:t>使用点＜3个，0-2分</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4.曾跨医联体或跨省使用的，1分。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2364"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3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color w:val="000000"/>
                <w:kern w:val="0"/>
                <w:sz w:val="21"/>
                <w:szCs w:val="21"/>
                <w:lang w:bidi="ar"/>
              </w:rPr>
              <w:t>（7）梳理出具有一定规律性和可重复性制剂临床用药体会，阐述制剂的临床价值；通过人用经验研究明确制剂临床定位、适用人群、用药剂量、疗程、疗效特点和临床获益等</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10</w:t>
            </w:r>
          </w:p>
        </w:tc>
        <w:tc>
          <w:tcPr>
            <w:tcW w:w="67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400" w:lineRule="exact"/>
              <w:ind w:firstLine="420" w:firstLineChars="200"/>
              <w:jc w:val="left"/>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明确制剂临床定位、适用人群、用药剂量、疗效特点和临床获益，形成研究报告，8-10分</w:t>
            </w:r>
            <w:r>
              <w:rPr>
                <w:rFonts w:hint="eastAsia" w:ascii="宋体" w:hAnsi="宋体" w:eastAsia="宋体" w:cs="宋体"/>
                <w:b w:val="0"/>
                <w:bCs w:val="0"/>
                <w:color w:val="000000"/>
                <w:sz w:val="21"/>
                <w:szCs w:val="21"/>
                <w:lang w:eastAsia="zh-CN"/>
              </w:rPr>
              <w:t>。</w:t>
            </w:r>
          </w:p>
          <w:p>
            <w:pPr>
              <w:widowControl/>
              <w:spacing w:line="400" w:lineRule="exact"/>
              <w:ind w:firstLine="420" w:firstLineChars="200"/>
              <w:jc w:val="left"/>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2</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明确制剂临床定位、适用人群、用药剂量，且能提供不少于100例的临床有效性和安全性数据，5-7分</w:t>
            </w:r>
            <w:r>
              <w:rPr>
                <w:rFonts w:hint="eastAsia" w:ascii="宋体" w:hAnsi="宋体" w:eastAsia="宋体" w:cs="宋体"/>
                <w:b w:val="0"/>
                <w:bCs w:val="0"/>
                <w:color w:val="000000"/>
                <w:sz w:val="21"/>
                <w:szCs w:val="21"/>
                <w:lang w:eastAsia="zh-CN"/>
              </w:rPr>
              <w:t>。</w:t>
            </w:r>
          </w:p>
          <w:p>
            <w:pPr>
              <w:widowControl/>
              <w:spacing w:line="400" w:lineRule="exact"/>
              <w:ind w:firstLine="420" w:firstLineChars="200"/>
              <w:jc w:val="left"/>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3</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提供不少于50例制剂有效性和安全性数据，3-6分</w:t>
            </w:r>
            <w:r>
              <w:rPr>
                <w:rFonts w:hint="eastAsia" w:ascii="宋体" w:hAnsi="宋体" w:eastAsia="宋体" w:cs="宋体"/>
                <w:b w:val="0"/>
                <w:bCs w:val="0"/>
                <w:color w:val="000000"/>
                <w:sz w:val="21"/>
                <w:szCs w:val="21"/>
                <w:lang w:eastAsia="zh-CN"/>
              </w:rPr>
              <w:t>。</w:t>
            </w:r>
          </w:p>
          <w:p>
            <w:pPr>
              <w:keepNext w:val="0"/>
              <w:keepLines w:val="0"/>
              <w:pageBreakBefore w:val="0"/>
              <w:widowControl/>
              <w:suppressLineNumbers w:val="0"/>
              <w:kinsoku/>
              <w:wordWrap/>
              <w:overflowPunct/>
              <w:topLinePunct w:val="0"/>
              <w:bidi w:val="0"/>
              <w:adjustRightInd/>
              <w:snapToGrid/>
              <w:spacing w:line="400" w:lineRule="exact"/>
              <w:ind w:firstLine="420" w:firstLineChars="200"/>
              <w:jc w:val="left"/>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000000"/>
                <w:sz w:val="21"/>
                <w:szCs w:val="21"/>
              </w:rPr>
              <w:t>4</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提供5-10例典型病例的，1-2分</w:t>
            </w:r>
            <w:r>
              <w:rPr>
                <w:rFonts w:hint="eastAsia" w:ascii="宋体" w:hAnsi="宋体" w:eastAsia="宋体" w:cs="宋体"/>
                <w:b w:val="0"/>
                <w:bCs w:val="0"/>
                <w:color w:val="00000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236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numPr>
                <w:ilvl w:val="0"/>
                <w:numId w:val="0"/>
              </w:numPr>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bidi w:val="0"/>
              <w:adjustRightInd/>
              <w:snapToGri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p>
            <w:pPr>
              <w:pStyle w:val="6"/>
              <w:rPr>
                <w:rFonts w:hint="eastAsia"/>
                <w:b/>
                <w:bCs/>
                <w:color w:val="000000"/>
                <w:lang w:val="en-US" w:eastAsia="zh-CN"/>
              </w:rPr>
            </w:pPr>
          </w:p>
          <w:p>
            <w:pPr>
              <w:keepNext w:val="0"/>
              <w:keepLines w:val="0"/>
              <w:pageBreakBefore w:val="0"/>
              <w:widowControl/>
              <w:numPr>
                <w:ilvl w:val="0"/>
                <w:numId w:val="0"/>
              </w:numPr>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w:t>
            </w:r>
          </w:p>
          <w:p>
            <w:pPr>
              <w:keepNext w:val="0"/>
              <w:keepLines w:val="0"/>
              <w:pageBreakBefore w:val="0"/>
              <w:widowControl/>
              <w:numPr>
                <w:ilvl w:val="0"/>
                <w:numId w:val="0"/>
              </w:numPr>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药学综合评价（40分）</w:t>
            </w: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pStyle w:val="6"/>
              <w:keepNext w:val="0"/>
              <w:keepLines w:val="0"/>
              <w:pageBreakBefore w:val="0"/>
              <w:kinsoku/>
              <w:wordWrap/>
              <w:overflowPunct/>
              <w:topLinePunct w:val="0"/>
              <w:bidi w:val="0"/>
              <w:adjustRightInd/>
              <w:snapToGrid/>
              <w:spacing w:line="400" w:lineRule="exact"/>
              <w:rPr>
                <w:rFonts w:hint="eastAsia" w:ascii="宋体" w:hAnsi="宋体" w:eastAsia="宋体" w:cs="宋体"/>
                <w:b/>
                <w:bCs/>
                <w:i w:val="0"/>
                <w:iCs w:val="0"/>
                <w:color w:val="000000"/>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w:t>
            </w:r>
          </w:p>
          <w:p>
            <w:pPr>
              <w:keepNext w:val="0"/>
              <w:keepLines w:val="0"/>
              <w:pageBreakBefore w:val="0"/>
              <w:widowControl/>
              <w:numPr>
                <w:ilvl w:val="0"/>
                <w:numId w:val="0"/>
              </w:numPr>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药学综合评价（40分）</w:t>
            </w:r>
          </w:p>
          <w:p>
            <w:pPr>
              <w:keepNext w:val="0"/>
              <w:keepLines w:val="0"/>
              <w:pageBreakBefore w:val="0"/>
              <w:widowControl/>
              <w:suppressLineNumbers w:val="0"/>
              <w:kinsoku/>
              <w:wordWrap/>
              <w:overflowPunct/>
              <w:topLinePunct w:val="0"/>
              <w:bidi w:val="0"/>
              <w:adjustRightInd/>
              <w:snapToGrid/>
              <w:spacing w:line="400" w:lineRule="exact"/>
              <w:jc w:val="both"/>
              <w:textAlignment w:val="center"/>
              <w:rPr>
                <w:rFonts w:hint="eastAsia" w:ascii="宋体" w:hAnsi="宋体" w:eastAsia="宋体" w:cs="宋体"/>
                <w:b/>
                <w:bCs/>
                <w:i w:val="0"/>
                <w:iCs w:val="0"/>
                <w:color w:val="000000"/>
                <w:sz w:val="21"/>
                <w:szCs w:val="21"/>
                <w:u w:val="none"/>
              </w:rPr>
            </w:pPr>
          </w:p>
        </w:tc>
        <w:tc>
          <w:tcPr>
            <w:tcW w:w="3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000000"/>
                <w:sz w:val="21"/>
                <w:szCs w:val="21"/>
                <w:u w:val="none"/>
              </w:rPr>
            </w:pPr>
            <w:r>
              <w:rPr>
                <w:rStyle w:val="8"/>
                <w:rFonts w:hint="eastAsia" w:ascii="宋体" w:hAnsi="宋体" w:eastAsia="宋体" w:cs="宋体"/>
                <w:b w:val="0"/>
                <w:bCs w:val="0"/>
                <w:color w:val="000000"/>
                <w:sz w:val="21"/>
                <w:szCs w:val="21"/>
                <w:lang w:val="en-US" w:eastAsia="zh-CN" w:bidi="ar"/>
              </w:rPr>
              <w:t>（1）处方药味均有法定标准来源；处方中如使用标识有毒性及现代毒理学证明有毒性的药味，应有明确的中医理论或流派治法支持；如含有十八反、十九畏等配伍禁忌的，申报单位应附安全性方面的证明资料</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6781" w:type="dxa"/>
            <w:tcBorders>
              <w:top w:val="single" w:color="000000" w:sz="8" w:space="0"/>
              <w:left w:val="single" w:color="000000" w:sz="8" w:space="0"/>
              <w:bottom w:val="single" w:color="000000" w:sz="8" w:space="0"/>
              <w:right w:val="single" w:color="000000" w:sz="8" w:space="0"/>
            </w:tcBorders>
            <w:noWrap w:val="0"/>
            <w:vAlign w:val="center"/>
          </w:tcPr>
          <w:p>
            <w:pPr>
              <w:pStyle w:val="9"/>
              <w:keepNext w:val="0"/>
              <w:keepLines w:val="0"/>
              <w:pageBreakBefore w:val="0"/>
              <w:kinsoku/>
              <w:wordWrap/>
              <w:overflowPunct/>
              <w:topLinePunct w:val="0"/>
              <w:bidi w:val="0"/>
              <w:adjustRightInd/>
              <w:snapToGrid/>
              <w:spacing w:line="400" w:lineRule="exact"/>
              <w:ind w:firstLine="560"/>
              <w:outlineLvl w:val="2"/>
              <w:rPr>
                <w:rFonts w:hint="eastAsia" w:ascii="宋体" w:hAnsi="宋体" w:eastAsia="宋体" w:cs="宋体"/>
                <w:b/>
                <w:bCs/>
                <w:color w:val="000000"/>
                <w:kern w:val="0"/>
                <w:sz w:val="21"/>
                <w:szCs w:val="21"/>
                <w:lang w:val="zh-CN" w:bidi="zh-CN"/>
              </w:rPr>
            </w:pPr>
            <w:r>
              <w:rPr>
                <w:rFonts w:hint="eastAsia" w:ascii="宋体" w:hAnsi="宋体" w:eastAsia="宋体" w:cs="宋体"/>
                <w:b/>
                <w:bCs/>
                <w:color w:val="000000"/>
                <w:kern w:val="0"/>
                <w:sz w:val="21"/>
                <w:szCs w:val="21"/>
                <w:lang w:val="zh-CN" w:bidi="zh-CN"/>
              </w:rPr>
              <w:t>该指标总分</w:t>
            </w:r>
            <w:r>
              <w:rPr>
                <w:rFonts w:hint="eastAsia" w:ascii="宋体" w:hAnsi="宋体" w:eastAsia="宋体" w:cs="宋体"/>
                <w:b/>
                <w:bCs/>
                <w:color w:val="000000"/>
                <w:kern w:val="0"/>
                <w:sz w:val="21"/>
                <w:szCs w:val="21"/>
                <w:lang w:val="en-US" w:bidi="zh-CN"/>
              </w:rPr>
              <w:t>5分，采用扣分制。</w:t>
            </w:r>
            <w:r>
              <w:rPr>
                <w:rFonts w:hint="eastAsia" w:ascii="宋体" w:hAnsi="宋体" w:eastAsia="宋体" w:cs="宋体"/>
                <w:b/>
                <w:bCs/>
                <w:color w:val="000000"/>
                <w:kern w:val="0"/>
                <w:sz w:val="21"/>
                <w:szCs w:val="21"/>
                <w:lang w:val="zh-CN" w:bidi="zh-CN"/>
              </w:rPr>
              <w:t>扣分项：</w:t>
            </w:r>
          </w:p>
          <w:p>
            <w:pPr>
              <w:pStyle w:val="9"/>
              <w:keepNext w:val="0"/>
              <w:keepLines w:val="0"/>
              <w:pageBreakBefore w:val="0"/>
              <w:kinsoku/>
              <w:wordWrap/>
              <w:overflowPunct/>
              <w:topLinePunct w:val="0"/>
              <w:bidi w:val="0"/>
              <w:adjustRightInd/>
              <w:snapToGrid/>
              <w:spacing w:line="400" w:lineRule="exact"/>
              <w:ind w:firstLine="560"/>
              <w:outlineLvl w:val="2"/>
              <w:rPr>
                <w:rFonts w:hint="eastAsia" w:ascii="宋体" w:hAnsi="宋体" w:eastAsia="宋体" w:cs="宋体"/>
                <w:b w:val="0"/>
                <w:bCs w:val="0"/>
                <w:color w:val="000000"/>
                <w:kern w:val="0"/>
                <w:sz w:val="21"/>
                <w:szCs w:val="21"/>
                <w:lang w:val="en-US" w:bidi="zh-CN"/>
              </w:rPr>
            </w:pPr>
            <w:r>
              <w:rPr>
                <w:rFonts w:hint="eastAsia" w:ascii="宋体" w:hAnsi="宋体" w:eastAsia="宋体" w:cs="宋体"/>
                <w:b w:val="0"/>
                <w:bCs w:val="0"/>
                <w:color w:val="000000"/>
                <w:kern w:val="0"/>
                <w:sz w:val="21"/>
                <w:szCs w:val="21"/>
                <w:lang w:val="en-US" w:bidi="zh-CN"/>
              </w:rPr>
              <w:t>1.法定来源。处方中存在药味无法定标准来源的，扣1分。</w:t>
            </w:r>
          </w:p>
          <w:p>
            <w:pPr>
              <w:pStyle w:val="9"/>
              <w:keepNext w:val="0"/>
              <w:keepLines w:val="0"/>
              <w:pageBreakBefore w:val="0"/>
              <w:kinsoku/>
              <w:wordWrap/>
              <w:overflowPunct/>
              <w:topLinePunct w:val="0"/>
              <w:bidi w:val="0"/>
              <w:adjustRightInd/>
              <w:snapToGrid/>
              <w:spacing w:line="400" w:lineRule="exact"/>
              <w:ind w:firstLine="560"/>
              <w:outlineLvl w:val="2"/>
              <w:rPr>
                <w:rFonts w:hint="eastAsia" w:ascii="宋体" w:hAnsi="宋体" w:eastAsia="宋体" w:cs="宋体"/>
                <w:b w:val="0"/>
                <w:bCs w:val="0"/>
                <w:color w:val="000000"/>
                <w:kern w:val="0"/>
                <w:sz w:val="21"/>
                <w:szCs w:val="21"/>
                <w:lang w:val="en-US" w:bidi="zh-CN"/>
              </w:rPr>
            </w:pPr>
            <w:r>
              <w:rPr>
                <w:rFonts w:hint="eastAsia" w:ascii="宋体" w:hAnsi="宋体" w:eastAsia="宋体" w:cs="宋体"/>
                <w:b w:val="0"/>
                <w:bCs w:val="0"/>
                <w:color w:val="000000"/>
                <w:kern w:val="0"/>
                <w:sz w:val="21"/>
                <w:szCs w:val="21"/>
                <w:lang w:val="en-US" w:bidi="zh-CN"/>
              </w:rPr>
              <w:t>2.毒性药味。处方中存在药材标准中标记有毒性及现代药理学证明有毒性的药味的，扣1分。</w:t>
            </w:r>
          </w:p>
          <w:p>
            <w:pPr>
              <w:pStyle w:val="9"/>
              <w:keepNext w:val="0"/>
              <w:keepLines w:val="0"/>
              <w:pageBreakBefore w:val="0"/>
              <w:kinsoku/>
              <w:wordWrap/>
              <w:overflowPunct/>
              <w:topLinePunct w:val="0"/>
              <w:bidi w:val="0"/>
              <w:adjustRightInd/>
              <w:snapToGrid/>
              <w:spacing w:line="400" w:lineRule="exact"/>
              <w:ind w:firstLine="560"/>
              <w:outlineLvl w:val="2"/>
              <w:rPr>
                <w:rFonts w:hint="eastAsia" w:ascii="宋体" w:hAnsi="宋体" w:eastAsia="宋体" w:cs="宋体"/>
                <w:b w:val="0"/>
                <w:bCs w:val="0"/>
                <w:i w:val="0"/>
                <w:iCs w:val="0"/>
                <w:color w:val="000000"/>
                <w:sz w:val="21"/>
                <w:szCs w:val="21"/>
                <w:u w:val="none"/>
                <w:lang w:eastAsia="zh-CN"/>
              </w:rPr>
            </w:pPr>
            <w:r>
              <w:rPr>
                <w:rFonts w:hint="eastAsia" w:ascii="宋体" w:hAnsi="宋体" w:eastAsia="宋体" w:cs="宋体"/>
                <w:b w:val="0"/>
                <w:bCs w:val="0"/>
                <w:color w:val="000000"/>
                <w:kern w:val="0"/>
                <w:sz w:val="21"/>
                <w:szCs w:val="21"/>
                <w:lang w:val="en-US" w:bidi="zh-CN"/>
              </w:rPr>
              <w:t>3.配伍禁忌。处方中</w:t>
            </w:r>
            <w:r>
              <w:rPr>
                <w:rFonts w:hint="eastAsia" w:ascii="宋体" w:hAnsi="宋体" w:eastAsia="宋体" w:cs="宋体"/>
                <w:b w:val="0"/>
                <w:bCs w:val="0"/>
                <w:color w:val="000000"/>
                <w:kern w:val="0"/>
                <w:sz w:val="21"/>
                <w:szCs w:val="21"/>
                <w:lang w:val="zh-CN" w:bidi="zh-CN"/>
              </w:rPr>
              <w:t>含有十八反、十九畏等配伍禁忌的，扣</w:t>
            </w:r>
            <w:r>
              <w:rPr>
                <w:rFonts w:hint="eastAsia" w:ascii="宋体" w:hAnsi="宋体" w:eastAsia="宋体" w:cs="宋体"/>
                <w:b w:val="0"/>
                <w:bCs w:val="0"/>
                <w:color w:val="000000"/>
                <w:kern w:val="0"/>
                <w:sz w:val="21"/>
                <w:szCs w:val="21"/>
                <w:lang w:val="en-US" w:bidi="zh-CN"/>
              </w:rPr>
              <w:t>1分</w:t>
            </w:r>
            <w:r>
              <w:rPr>
                <w:rFonts w:hint="eastAsia" w:ascii="宋体" w:hAnsi="宋体" w:eastAsia="宋体" w:cs="宋体"/>
                <w:color w:val="00000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2364"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jc w:val="center"/>
              <w:rPr>
                <w:rFonts w:hint="eastAsia" w:ascii="宋体" w:hAnsi="宋体" w:eastAsia="宋体" w:cs="宋体"/>
                <w:b/>
                <w:bCs/>
                <w:i w:val="0"/>
                <w:iCs w:val="0"/>
                <w:color w:val="000000"/>
                <w:sz w:val="21"/>
                <w:szCs w:val="21"/>
                <w:u w:val="none"/>
              </w:rPr>
            </w:pPr>
          </w:p>
        </w:tc>
        <w:tc>
          <w:tcPr>
            <w:tcW w:w="3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（2）规范开展不良反应监测，近</w:t>
            </w:r>
            <w:r>
              <w:rPr>
                <w:rFonts w:hint="eastAsia" w:ascii="宋体" w:hAnsi="宋体" w:cs="宋体"/>
                <w:b w:val="0"/>
                <w:bCs w:val="0"/>
                <w:i w:val="0"/>
                <w:iCs w:val="0"/>
                <w:color w:val="000000"/>
                <w:kern w:val="0"/>
                <w:sz w:val="21"/>
                <w:szCs w:val="21"/>
                <w:u w:val="none"/>
                <w:lang w:val="en-US" w:eastAsia="zh-CN" w:bidi="ar"/>
              </w:rPr>
              <w:t>3</w:t>
            </w:r>
            <w:r>
              <w:rPr>
                <w:rFonts w:hint="eastAsia" w:ascii="宋体" w:hAnsi="宋体" w:eastAsia="宋体" w:cs="宋体"/>
                <w:b w:val="0"/>
                <w:bCs w:val="0"/>
                <w:i w:val="0"/>
                <w:iCs w:val="0"/>
                <w:color w:val="000000"/>
                <w:kern w:val="0"/>
                <w:sz w:val="21"/>
                <w:szCs w:val="21"/>
                <w:u w:val="none"/>
                <w:lang w:val="en-US" w:eastAsia="zh-CN" w:bidi="ar"/>
              </w:rPr>
              <w:t>年内未发生严重不良反应，发生的新的不良反应比例低</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67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ind w:firstLine="421" w:firstLineChars="20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一</w:t>
            </w:r>
            <w:r>
              <w:rPr>
                <w:rFonts w:hint="eastAsia" w:ascii="宋体" w:hAnsi="宋体" w:eastAsia="宋体" w:cs="宋体"/>
                <w:b/>
                <w:bCs/>
                <w:color w:val="000000"/>
                <w:sz w:val="21"/>
                <w:szCs w:val="21"/>
                <w:lang w:val="en-US"/>
              </w:rPr>
              <w:t>、不良反应监测情况</w:t>
            </w:r>
            <w:r>
              <w:rPr>
                <w:rFonts w:hint="eastAsia" w:ascii="宋体" w:hAnsi="宋体" w:eastAsia="宋体" w:cs="宋体"/>
                <w:b/>
                <w:bCs/>
                <w:color w:val="000000"/>
                <w:sz w:val="21"/>
                <w:szCs w:val="21"/>
                <w:lang w:val="en-US" w:eastAsia="zh-CN"/>
              </w:rPr>
              <w:t>：总分3分。</w:t>
            </w:r>
            <w:r>
              <w:rPr>
                <w:rFonts w:hint="eastAsia" w:ascii="宋体" w:hAnsi="宋体" w:eastAsia="宋体" w:cs="宋体"/>
                <w:b w:val="0"/>
                <w:bCs w:val="0"/>
                <w:color w:val="000000"/>
                <w:sz w:val="21"/>
                <w:szCs w:val="21"/>
                <w:lang w:val="en-US" w:eastAsia="zh-CN"/>
              </w:rPr>
              <w:t>1.</w:t>
            </w:r>
            <w:r>
              <w:rPr>
                <w:rFonts w:hint="eastAsia" w:ascii="宋体" w:hAnsi="宋体" w:eastAsia="宋体" w:cs="宋体"/>
                <w:color w:val="000000"/>
                <w:sz w:val="21"/>
                <w:szCs w:val="21"/>
                <w:lang w:val="en-US" w:eastAsia="zh-CN"/>
              </w:rPr>
              <w:t>规范开展，3分；2.开展但不规范，2分；3.未开展，1分。</w:t>
            </w:r>
          </w:p>
          <w:p>
            <w:pPr>
              <w:pStyle w:val="6"/>
              <w:keepNext w:val="0"/>
              <w:keepLines w:val="0"/>
              <w:pageBreakBefore w:val="0"/>
              <w:kinsoku/>
              <w:wordWrap/>
              <w:overflowPunct/>
              <w:topLinePunct w:val="0"/>
              <w:bidi w:val="0"/>
              <w:adjustRightInd/>
              <w:snapToGrid/>
              <w:spacing w:line="400" w:lineRule="exact"/>
              <w:ind w:firstLine="421" w:firstLineChars="200"/>
              <w:rPr>
                <w:rFonts w:hint="eastAsia" w:ascii="宋体" w:hAnsi="宋体" w:eastAsia="宋体" w:cs="宋体"/>
                <w:color w:val="000000"/>
                <w:sz w:val="21"/>
                <w:szCs w:val="21"/>
                <w:lang w:val="en-US"/>
              </w:rPr>
            </w:pPr>
            <w:r>
              <w:rPr>
                <w:rFonts w:hint="eastAsia" w:ascii="宋体" w:hAnsi="宋体" w:eastAsia="宋体" w:cs="宋体"/>
                <w:b/>
                <w:bCs/>
                <w:i w:val="0"/>
                <w:iCs w:val="0"/>
                <w:color w:val="000000"/>
                <w:kern w:val="0"/>
                <w:sz w:val="21"/>
                <w:szCs w:val="21"/>
                <w:u w:val="none"/>
                <w:lang w:val="en-US" w:eastAsia="zh-CN" w:bidi="ar"/>
              </w:rPr>
              <w:t>二</w:t>
            </w:r>
            <w:r>
              <w:rPr>
                <w:rFonts w:hint="eastAsia" w:ascii="宋体" w:hAnsi="宋体" w:eastAsia="宋体" w:cs="宋体"/>
                <w:b/>
                <w:bCs/>
                <w:color w:val="000000"/>
                <w:kern w:val="0"/>
                <w:sz w:val="21"/>
                <w:szCs w:val="21"/>
                <w:lang w:val="en-US" w:bidi="zh-CN"/>
              </w:rPr>
              <w:t>、不良反应发生情况</w:t>
            </w:r>
            <w:r>
              <w:rPr>
                <w:rFonts w:hint="eastAsia" w:eastAsia="宋体" w:cs="宋体"/>
                <w:b/>
                <w:bCs/>
                <w:color w:val="000000"/>
                <w:kern w:val="0"/>
                <w:sz w:val="21"/>
                <w:szCs w:val="21"/>
                <w:lang w:val="en-US" w:bidi="zh-CN"/>
              </w:rPr>
              <w:t>：</w:t>
            </w:r>
            <w:r>
              <w:rPr>
                <w:rFonts w:hint="eastAsia" w:ascii="宋体" w:hAnsi="宋体" w:eastAsia="宋体" w:cs="宋体"/>
                <w:b/>
                <w:bCs/>
                <w:color w:val="000000"/>
                <w:kern w:val="0"/>
                <w:sz w:val="21"/>
                <w:szCs w:val="21"/>
                <w:lang w:val="en-US" w:bidi="zh-CN"/>
              </w:rPr>
              <w:t>总分2分</w:t>
            </w:r>
            <w:r>
              <w:rPr>
                <w:rFonts w:hint="eastAsia" w:eastAsia="宋体" w:cs="宋体"/>
                <w:b/>
                <w:bCs/>
                <w:color w:val="000000"/>
                <w:kern w:val="0"/>
                <w:sz w:val="21"/>
                <w:szCs w:val="21"/>
                <w:lang w:val="en-US" w:bidi="zh-CN"/>
              </w:rPr>
              <w:t>。</w:t>
            </w:r>
            <w:r>
              <w:rPr>
                <w:rFonts w:hint="eastAsia" w:ascii="宋体" w:hAnsi="宋体" w:eastAsia="宋体" w:cs="宋体"/>
                <w:b w:val="0"/>
                <w:bCs w:val="0"/>
                <w:color w:val="000000"/>
                <w:kern w:val="0"/>
                <w:sz w:val="21"/>
                <w:szCs w:val="21"/>
                <w:lang w:val="en-US" w:bidi="zh-CN"/>
              </w:rPr>
              <w:t>1.近</w:t>
            </w:r>
            <w:r>
              <w:rPr>
                <w:rFonts w:hint="eastAsia" w:eastAsia="宋体" w:cs="宋体"/>
                <w:b w:val="0"/>
                <w:bCs w:val="0"/>
                <w:color w:val="000000"/>
                <w:kern w:val="0"/>
                <w:sz w:val="21"/>
                <w:szCs w:val="21"/>
                <w:lang w:val="en-US" w:bidi="zh-CN"/>
              </w:rPr>
              <w:t>3</w:t>
            </w:r>
            <w:r>
              <w:rPr>
                <w:rFonts w:hint="eastAsia" w:ascii="宋体" w:hAnsi="宋体" w:eastAsia="宋体" w:cs="宋体"/>
                <w:b w:val="0"/>
                <w:bCs w:val="0"/>
                <w:color w:val="000000"/>
                <w:kern w:val="0"/>
                <w:sz w:val="21"/>
                <w:szCs w:val="21"/>
                <w:lang w:val="en-US" w:bidi="zh-CN"/>
              </w:rPr>
              <w:t>年未发生</w:t>
            </w:r>
            <w:r>
              <w:rPr>
                <w:rFonts w:hint="eastAsia" w:eastAsia="宋体" w:cs="宋体"/>
                <w:b w:val="0"/>
                <w:bCs w:val="0"/>
                <w:color w:val="000000"/>
                <w:kern w:val="0"/>
                <w:sz w:val="21"/>
                <w:szCs w:val="21"/>
                <w:lang w:val="en-US" w:bidi="zh-CN"/>
              </w:rPr>
              <w:t>新</w:t>
            </w:r>
            <w:r>
              <w:rPr>
                <w:rFonts w:hint="eastAsia" w:ascii="宋体" w:hAnsi="宋体" w:eastAsia="宋体" w:cs="宋体"/>
                <w:b w:val="0"/>
                <w:bCs w:val="0"/>
                <w:color w:val="000000"/>
                <w:kern w:val="0"/>
                <w:sz w:val="21"/>
                <w:szCs w:val="21"/>
                <w:lang w:val="en-US" w:bidi="zh-CN"/>
              </w:rPr>
              <w:t>的不良反应</w:t>
            </w:r>
            <w:r>
              <w:rPr>
                <w:rFonts w:hint="eastAsia" w:eastAsia="宋体" w:cs="宋体"/>
                <w:b w:val="0"/>
                <w:bCs w:val="0"/>
                <w:color w:val="000000"/>
                <w:kern w:val="0"/>
                <w:sz w:val="21"/>
                <w:szCs w:val="21"/>
                <w:lang w:val="en-US" w:bidi="zh-CN"/>
              </w:rPr>
              <w:t>，</w:t>
            </w:r>
            <w:r>
              <w:rPr>
                <w:rFonts w:hint="eastAsia" w:ascii="宋体" w:hAnsi="宋体" w:eastAsia="宋体" w:cs="宋体"/>
                <w:b w:val="0"/>
                <w:bCs w:val="0"/>
                <w:color w:val="000000"/>
                <w:kern w:val="0"/>
                <w:sz w:val="21"/>
                <w:szCs w:val="21"/>
                <w:lang w:val="en-US" w:bidi="zh-CN"/>
              </w:rPr>
              <w:t>2分；2.近</w:t>
            </w:r>
            <w:r>
              <w:rPr>
                <w:rFonts w:hint="eastAsia" w:eastAsia="宋体" w:cs="宋体"/>
                <w:b w:val="0"/>
                <w:bCs w:val="0"/>
                <w:color w:val="000000"/>
                <w:kern w:val="0"/>
                <w:sz w:val="21"/>
                <w:szCs w:val="21"/>
                <w:lang w:val="en-US" w:bidi="zh-CN"/>
              </w:rPr>
              <w:t>3</w:t>
            </w:r>
            <w:r>
              <w:rPr>
                <w:rFonts w:hint="eastAsia" w:ascii="宋体" w:hAnsi="宋体" w:eastAsia="宋体" w:cs="宋体"/>
                <w:b w:val="0"/>
                <w:bCs w:val="0"/>
                <w:color w:val="000000"/>
                <w:kern w:val="0"/>
                <w:sz w:val="21"/>
                <w:szCs w:val="21"/>
                <w:lang w:val="en-US" w:bidi="zh-CN"/>
              </w:rPr>
              <w:t>年曾发生</w:t>
            </w:r>
            <w:r>
              <w:rPr>
                <w:rFonts w:hint="eastAsia" w:eastAsia="宋体" w:cs="宋体"/>
                <w:b w:val="0"/>
                <w:bCs w:val="0"/>
                <w:color w:val="000000"/>
                <w:kern w:val="0"/>
                <w:sz w:val="21"/>
                <w:szCs w:val="21"/>
                <w:lang w:val="en-US" w:bidi="zh-CN"/>
              </w:rPr>
              <w:t>新</w:t>
            </w:r>
            <w:r>
              <w:rPr>
                <w:rFonts w:hint="eastAsia" w:ascii="宋体" w:hAnsi="宋体" w:eastAsia="宋体" w:cs="宋体"/>
                <w:b w:val="0"/>
                <w:bCs w:val="0"/>
                <w:color w:val="000000"/>
                <w:kern w:val="0"/>
                <w:sz w:val="21"/>
                <w:szCs w:val="21"/>
                <w:lang w:val="en-US" w:bidi="zh-CN"/>
              </w:rPr>
              <w:t>的不良反应</w:t>
            </w:r>
            <w:r>
              <w:rPr>
                <w:rFonts w:hint="eastAsia" w:eastAsia="宋体" w:cs="宋体"/>
                <w:b w:val="0"/>
                <w:bCs w:val="0"/>
                <w:color w:val="000000"/>
                <w:kern w:val="0"/>
                <w:sz w:val="21"/>
                <w:szCs w:val="21"/>
                <w:lang w:val="en-US" w:bidi="zh-CN"/>
              </w:rPr>
              <w:t>，</w:t>
            </w:r>
            <w:r>
              <w:rPr>
                <w:rFonts w:hint="eastAsia" w:ascii="宋体" w:hAnsi="宋体" w:eastAsia="宋体" w:cs="宋体"/>
                <w:b w:val="0"/>
                <w:bCs w:val="0"/>
                <w:color w:val="000000"/>
                <w:kern w:val="0"/>
                <w:sz w:val="21"/>
                <w:szCs w:val="21"/>
                <w:lang w:val="en-US" w:bidi="zh-CN"/>
              </w:rPr>
              <w:t>0-1分。</w:t>
            </w:r>
            <w:r>
              <w:rPr>
                <w:rFonts w:hint="eastAsia" w:eastAsia="宋体" w:cs="宋体"/>
                <w:b w:val="0"/>
                <w:bCs w:val="0"/>
                <w:color w:val="000000"/>
                <w:kern w:val="0"/>
                <w:sz w:val="21"/>
                <w:szCs w:val="21"/>
                <w:lang w:val="en-US" w:bidi="zh-CN"/>
              </w:rPr>
              <w:t>未开展监测不得分。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2364"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jc w:val="center"/>
              <w:rPr>
                <w:rFonts w:hint="eastAsia" w:ascii="宋体" w:hAnsi="宋体" w:eastAsia="宋体" w:cs="宋体"/>
                <w:b/>
                <w:bCs/>
                <w:i w:val="0"/>
                <w:iCs w:val="0"/>
                <w:color w:val="000000"/>
                <w:sz w:val="21"/>
                <w:szCs w:val="21"/>
                <w:u w:val="none"/>
              </w:rPr>
            </w:pPr>
          </w:p>
        </w:tc>
        <w:tc>
          <w:tcPr>
            <w:tcW w:w="3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（3）标签及说明书的安全信息（如禁忌证、注意事项、特殊人群用药等）合理完整，内容与省药监部门批准一致</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67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ind w:firstLine="421" w:firstLineChars="20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标签及说明书：</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val="zh-CN"/>
              </w:rPr>
              <w:t>有明确列明安全信息的，</w:t>
            </w:r>
            <w:r>
              <w:rPr>
                <w:rFonts w:hint="eastAsia" w:ascii="宋体" w:hAnsi="宋体" w:eastAsia="宋体" w:cs="宋体"/>
                <w:color w:val="000000"/>
                <w:sz w:val="21"/>
                <w:szCs w:val="21"/>
                <w:lang w:val="en-US" w:eastAsia="zh-CN"/>
              </w:rPr>
              <w:t>2-5分；2.相关内容表述为暂不明确的，0-1分。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2364"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p>
        </w:tc>
        <w:tc>
          <w:tcPr>
            <w:tcW w:w="3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r>
              <w:rPr>
                <w:rFonts w:hint="eastAsia" w:ascii="宋体" w:hAnsi="宋体" w:eastAsia="宋体" w:cs="宋体"/>
                <w:b w:val="0"/>
                <w:bCs w:val="0"/>
                <w:color w:val="000000"/>
                <w:sz w:val="21"/>
                <w:szCs w:val="21"/>
              </w:rPr>
              <w:t>曾进行临床</w:t>
            </w:r>
            <w:r>
              <w:rPr>
                <w:rFonts w:hint="eastAsia" w:ascii="宋体" w:hAnsi="宋体" w:eastAsia="宋体" w:cs="宋体"/>
                <w:b w:val="0"/>
                <w:bCs w:val="0"/>
                <w:color w:val="000000"/>
                <w:sz w:val="21"/>
                <w:szCs w:val="21"/>
                <w:lang w:eastAsia="zh-CN"/>
              </w:rPr>
              <w:t>或非临床</w:t>
            </w:r>
            <w:r>
              <w:rPr>
                <w:rFonts w:hint="eastAsia" w:ascii="宋体" w:hAnsi="宋体" w:eastAsia="宋体" w:cs="宋体"/>
                <w:b w:val="0"/>
                <w:bCs w:val="0"/>
                <w:color w:val="000000"/>
                <w:sz w:val="21"/>
                <w:szCs w:val="21"/>
              </w:rPr>
              <w:t>安全性和有效性观察或研究</w:t>
            </w:r>
            <w:r>
              <w:rPr>
                <w:rFonts w:hint="eastAsia" w:ascii="宋体" w:hAnsi="宋体" w:eastAsia="宋体" w:cs="宋体"/>
                <w:b w:val="0"/>
                <w:bCs w:val="0"/>
                <w:color w:val="000000"/>
                <w:sz w:val="21"/>
                <w:szCs w:val="21"/>
                <w:lang w:val="zh-CN"/>
              </w:rPr>
              <w:t>。</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67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ind w:firstLine="421" w:firstLineChars="20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bCs/>
                <w:color w:val="000000"/>
                <w:sz w:val="21"/>
                <w:szCs w:val="21"/>
              </w:rPr>
              <w:t>安全性和有效性观察或研究</w:t>
            </w:r>
            <w:r>
              <w:rPr>
                <w:rFonts w:hint="eastAsia" w:ascii="宋体" w:hAnsi="宋体" w:eastAsia="宋体" w:cs="宋体"/>
                <w:b/>
                <w:bCs/>
                <w:color w:val="000000"/>
                <w:sz w:val="21"/>
                <w:szCs w:val="21"/>
                <w:lang w:val="en-US" w:eastAsia="zh-CN"/>
              </w:rPr>
              <w:t>开展情况</w:t>
            </w:r>
            <w:r>
              <w:rPr>
                <w:rFonts w:hint="eastAsia" w:ascii="宋体" w:hAnsi="宋体" w:eastAsia="宋体" w:cs="宋体"/>
                <w:b w:val="0"/>
                <w:bCs w:val="0"/>
                <w:color w:val="000000"/>
                <w:sz w:val="21"/>
                <w:szCs w:val="21"/>
                <w:lang w:val="en-US" w:eastAsia="zh-CN"/>
              </w:rPr>
              <w:t>：</w:t>
            </w:r>
            <w:r>
              <w:rPr>
                <w:rFonts w:hint="eastAsia" w:ascii="宋体" w:hAnsi="宋体" w:eastAsia="宋体" w:cs="宋体"/>
                <w:color w:val="000000"/>
                <w:sz w:val="21"/>
                <w:szCs w:val="21"/>
                <w:lang w:val="en-US" w:eastAsia="zh-CN"/>
              </w:rPr>
              <w:t>1.</w:t>
            </w:r>
            <w:r>
              <w:rPr>
                <w:rFonts w:hint="eastAsia" w:ascii="宋体" w:hAnsi="宋体" w:eastAsia="宋体" w:cs="宋体"/>
                <w:b w:val="0"/>
                <w:bCs w:val="0"/>
                <w:i w:val="0"/>
                <w:iCs w:val="0"/>
                <w:color w:val="000000"/>
                <w:kern w:val="0"/>
                <w:sz w:val="21"/>
                <w:szCs w:val="21"/>
                <w:u w:val="none"/>
                <w:lang w:val="en-US" w:eastAsia="zh-CN" w:bidi="ar"/>
              </w:rPr>
              <w:t>临床和非临床均开展，4-5分；2.仅开展临床或非临床，1-3分；3.未开展，0分</w:t>
            </w:r>
            <w:r>
              <w:rPr>
                <w:rFonts w:hint="eastAsia" w:ascii="宋体" w:hAnsi="宋体" w:eastAsia="宋体" w:cs="宋体"/>
                <w:color w:val="00000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2364"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jc w:val="center"/>
              <w:rPr>
                <w:rFonts w:hint="eastAsia" w:ascii="宋体" w:hAnsi="宋体" w:eastAsia="宋体" w:cs="宋体"/>
                <w:b/>
                <w:bCs/>
                <w:i w:val="0"/>
                <w:iCs w:val="0"/>
                <w:color w:val="000000"/>
                <w:sz w:val="21"/>
                <w:szCs w:val="21"/>
                <w:u w:val="none"/>
              </w:rPr>
            </w:pPr>
          </w:p>
        </w:tc>
        <w:tc>
          <w:tcPr>
            <w:tcW w:w="3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（5）配制工艺路线合理，并与大生产相关设备能顺利对接，具有实现大规模生产的可行性</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5</w:t>
            </w:r>
          </w:p>
        </w:tc>
        <w:tc>
          <w:tcPr>
            <w:tcW w:w="67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ind w:firstLine="420" w:firstLineChars="200"/>
              <w:jc w:val="left"/>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1.配制工艺适应产业化生产，2分；2.已有成熟的生产设备，2分；3.便于快速提升产能，1分。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2364"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jc w:val="center"/>
              <w:rPr>
                <w:rFonts w:hint="eastAsia" w:ascii="宋体" w:hAnsi="宋体" w:eastAsia="宋体" w:cs="宋体"/>
                <w:b/>
                <w:bCs/>
                <w:i w:val="0"/>
                <w:iCs w:val="0"/>
                <w:color w:val="000000"/>
                <w:sz w:val="21"/>
                <w:szCs w:val="21"/>
                <w:u w:val="none"/>
              </w:rPr>
            </w:pPr>
          </w:p>
        </w:tc>
        <w:tc>
          <w:tcPr>
            <w:tcW w:w="3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（6）质量标准合理，应符合现行法律法规、标准、指导原则等规定</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67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按指标要求，根据综合情况</w:t>
            </w:r>
            <w:r>
              <w:rPr>
                <w:rFonts w:hint="eastAsia" w:ascii="宋体" w:hAnsi="宋体" w:eastAsia="宋体" w:cs="宋体"/>
                <w:b w:val="0"/>
                <w:bCs w:val="0"/>
                <w:i w:val="0"/>
                <w:iCs w:val="0"/>
                <w:color w:val="000000"/>
                <w:kern w:val="0"/>
                <w:sz w:val="21"/>
                <w:szCs w:val="21"/>
                <w:u w:val="none"/>
                <w:lang w:eastAsia="zh-CN" w:bidi="ar"/>
              </w:rPr>
              <w:t>评</w:t>
            </w:r>
            <w:r>
              <w:rPr>
                <w:rFonts w:hint="eastAsia" w:ascii="宋体" w:hAnsi="宋体" w:eastAsia="宋体" w:cs="宋体"/>
                <w:b w:val="0"/>
                <w:bCs w:val="0"/>
                <w:i w:val="0"/>
                <w:iCs w:val="0"/>
                <w:color w:val="000000"/>
                <w:kern w:val="0"/>
                <w:sz w:val="21"/>
                <w:szCs w:val="21"/>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2364"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jc w:val="center"/>
              <w:rPr>
                <w:rFonts w:hint="eastAsia" w:ascii="宋体" w:hAnsi="宋体" w:eastAsia="宋体" w:cs="宋体"/>
                <w:b/>
                <w:bCs/>
                <w:i w:val="0"/>
                <w:iCs w:val="0"/>
                <w:color w:val="000000"/>
                <w:sz w:val="21"/>
                <w:szCs w:val="21"/>
                <w:u w:val="none"/>
              </w:rPr>
            </w:pPr>
          </w:p>
        </w:tc>
        <w:tc>
          <w:tcPr>
            <w:tcW w:w="3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（7）药材基原明确，饮片有法定标准来源</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67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按指标要求，根据综合情况</w:t>
            </w:r>
            <w:r>
              <w:rPr>
                <w:rFonts w:hint="eastAsia" w:ascii="宋体" w:hAnsi="宋体" w:eastAsia="宋体" w:cs="宋体"/>
                <w:b w:val="0"/>
                <w:bCs w:val="0"/>
                <w:i w:val="0"/>
                <w:iCs w:val="0"/>
                <w:color w:val="000000"/>
                <w:kern w:val="0"/>
                <w:sz w:val="21"/>
                <w:szCs w:val="21"/>
                <w:u w:val="none"/>
                <w:lang w:eastAsia="zh-CN" w:bidi="ar"/>
              </w:rPr>
              <w:t>评</w:t>
            </w:r>
            <w:r>
              <w:rPr>
                <w:rFonts w:hint="eastAsia" w:ascii="宋体" w:hAnsi="宋体" w:eastAsia="宋体" w:cs="宋体"/>
                <w:b w:val="0"/>
                <w:bCs w:val="0"/>
                <w:i w:val="0"/>
                <w:iCs w:val="0"/>
                <w:color w:val="000000"/>
                <w:kern w:val="0"/>
                <w:sz w:val="21"/>
                <w:szCs w:val="21"/>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2364"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jc w:val="center"/>
              <w:rPr>
                <w:rFonts w:hint="eastAsia" w:ascii="宋体" w:hAnsi="宋体" w:eastAsia="宋体" w:cs="宋体"/>
                <w:b/>
                <w:bCs/>
                <w:i w:val="0"/>
                <w:iCs w:val="0"/>
                <w:color w:val="000000"/>
                <w:sz w:val="21"/>
                <w:szCs w:val="21"/>
                <w:u w:val="none"/>
              </w:rPr>
            </w:pPr>
          </w:p>
        </w:tc>
        <w:tc>
          <w:tcPr>
            <w:tcW w:w="3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numPr>
                <w:ilvl w:val="0"/>
                <w:numId w:val="1"/>
              </w:numPr>
              <w:suppressLineNumbers w:val="0"/>
              <w:kinsoku/>
              <w:wordWrap/>
              <w:overflowPunct/>
              <w:topLinePunct w:val="0"/>
              <w:bidi w:val="0"/>
              <w:adjustRightInd/>
              <w:snapToGrid/>
              <w:spacing w:line="4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使用道地药材，处方药味资源可及</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67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ind w:firstLine="420" w:firstLineChars="20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使用/部分使用/未使用道地药材，并结合药味为君/臣/佐/使、药味资源可及情况综合评分。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236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both"/>
              <w:textAlignment w:val="center"/>
              <w:rPr>
                <w:rStyle w:val="10"/>
                <w:rFonts w:hint="eastAsia" w:ascii="宋体" w:hAnsi="宋体" w:eastAsia="宋体" w:cs="宋体"/>
                <w:b/>
                <w:bCs/>
                <w:color w:val="000000"/>
                <w:sz w:val="21"/>
                <w:szCs w:val="21"/>
                <w:lang w:val="en-US" w:eastAsia="zh-CN" w:bidi="ar"/>
              </w:rPr>
            </w:pPr>
          </w:p>
          <w:p>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Style w:val="10"/>
                <w:rFonts w:hint="eastAsia" w:ascii="宋体" w:hAnsi="宋体" w:eastAsia="宋体" w:cs="宋体"/>
                <w:b/>
                <w:bCs/>
                <w:color w:val="000000"/>
                <w:sz w:val="21"/>
                <w:szCs w:val="21"/>
                <w:lang w:val="en-US" w:eastAsia="zh-CN" w:bidi="ar"/>
              </w:rPr>
            </w:pPr>
            <w:r>
              <w:rPr>
                <w:rStyle w:val="10"/>
                <w:rFonts w:hint="eastAsia" w:ascii="宋体" w:hAnsi="宋体" w:eastAsia="宋体" w:cs="宋体"/>
                <w:b/>
                <w:bCs/>
                <w:color w:val="000000"/>
                <w:sz w:val="21"/>
                <w:szCs w:val="21"/>
                <w:lang w:val="en-US" w:eastAsia="zh-CN" w:bidi="ar"/>
              </w:rPr>
              <w:t>加分项：</w:t>
            </w:r>
          </w:p>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Style w:val="10"/>
                <w:rFonts w:hint="eastAsia" w:ascii="宋体" w:hAnsi="宋体" w:eastAsia="宋体" w:cs="宋体"/>
                <w:b/>
                <w:bCs/>
                <w:color w:val="000000"/>
                <w:sz w:val="21"/>
                <w:szCs w:val="21"/>
                <w:lang w:val="en-US" w:eastAsia="zh-CN" w:bidi="ar"/>
              </w:rPr>
            </w:pPr>
            <w:r>
              <w:rPr>
                <w:rStyle w:val="10"/>
                <w:rFonts w:hint="eastAsia" w:ascii="宋体" w:hAnsi="宋体" w:eastAsia="宋体" w:cs="宋体"/>
                <w:b/>
                <w:bCs/>
                <w:color w:val="000000"/>
                <w:sz w:val="21"/>
                <w:szCs w:val="21"/>
                <w:lang w:val="en-US" w:eastAsia="zh-CN" w:bidi="ar"/>
              </w:rPr>
              <w:t>新药转化评价</w:t>
            </w:r>
          </w:p>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Style w:val="10"/>
                <w:rFonts w:hint="eastAsia" w:ascii="宋体" w:hAnsi="宋体" w:eastAsia="宋体" w:cs="宋体"/>
                <w:b/>
                <w:bCs/>
                <w:color w:val="000000"/>
                <w:sz w:val="21"/>
                <w:szCs w:val="21"/>
                <w:lang w:val="en-US" w:eastAsia="zh-CN" w:bidi="ar"/>
              </w:rPr>
            </w:pPr>
            <w:r>
              <w:rPr>
                <w:rStyle w:val="10"/>
                <w:rFonts w:hint="eastAsia" w:ascii="宋体" w:hAnsi="宋体" w:eastAsia="宋体" w:cs="宋体"/>
                <w:b/>
                <w:bCs/>
                <w:color w:val="000000"/>
                <w:sz w:val="21"/>
                <w:szCs w:val="21"/>
                <w:lang w:val="en-US" w:eastAsia="zh-CN" w:bidi="ar"/>
              </w:rPr>
              <w:t>（</w:t>
            </w:r>
            <w:r>
              <w:rPr>
                <w:rStyle w:val="11"/>
                <w:rFonts w:hint="eastAsia" w:ascii="宋体" w:hAnsi="宋体" w:eastAsia="宋体" w:cs="宋体"/>
                <w:b/>
                <w:bCs/>
                <w:color w:val="000000"/>
                <w:sz w:val="21"/>
                <w:szCs w:val="21"/>
                <w:lang w:val="en-US" w:eastAsia="zh-CN" w:bidi="ar"/>
              </w:rPr>
              <w:t>18分</w:t>
            </w:r>
            <w:r>
              <w:rPr>
                <w:rStyle w:val="10"/>
                <w:rFonts w:hint="eastAsia" w:ascii="宋体" w:hAnsi="宋体" w:eastAsia="宋体" w:cs="宋体"/>
                <w:b/>
                <w:bCs/>
                <w:color w:val="000000"/>
                <w:sz w:val="21"/>
                <w:szCs w:val="21"/>
                <w:lang w:val="en-US" w:eastAsia="zh-CN" w:bidi="ar"/>
              </w:rPr>
              <w:t>）</w:t>
            </w:r>
          </w:p>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r>
              <w:rPr>
                <w:rStyle w:val="10"/>
                <w:rFonts w:hint="eastAsia" w:ascii="宋体" w:hAnsi="宋体" w:eastAsia="宋体" w:cs="宋体"/>
                <w:b/>
                <w:bCs/>
                <w:color w:val="000000"/>
                <w:sz w:val="21"/>
                <w:szCs w:val="21"/>
                <w:lang w:val="en-US" w:eastAsia="zh-CN" w:bidi="ar"/>
              </w:rPr>
              <w:t>备注：该项总分不超过10分</w:t>
            </w:r>
          </w:p>
        </w:tc>
        <w:tc>
          <w:tcPr>
            <w:tcW w:w="3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（1）已入选</w:t>
            </w:r>
            <w:r>
              <w:rPr>
                <w:rFonts w:hint="eastAsia" w:ascii="宋体" w:hAnsi="宋体" w:cs="宋体"/>
                <w:b w:val="0"/>
                <w:bCs w:val="0"/>
                <w:i w:val="0"/>
                <w:iCs w:val="0"/>
                <w:color w:val="000000"/>
                <w:kern w:val="0"/>
                <w:sz w:val="21"/>
                <w:szCs w:val="21"/>
                <w:u w:val="none"/>
                <w:lang w:val="en-US" w:eastAsia="zh-CN" w:bidi="ar"/>
              </w:rPr>
              <w:t>甘肃</w:t>
            </w:r>
            <w:r>
              <w:rPr>
                <w:rFonts w:hint="eastAsia" w:ascii="宋体" w:hAnsi="宋体" w:eastAsia="宋体" w:cs="宋体"/>
                <w:b w:val="0"/>
                <w:bCs w:val="0"/>
                <w:i w:val="0"/>
                <w:iCs w:val="0"/>
                <w:color w:val="000000"/>
                <w:kern w:val="0"/>
                <w:sz w:val="21"/>
                <w:szCs w:val="21"/>
                <w:u w:val="none"/>
                <w:lang w:val="en-US" w:eastAsia="zh-CN" w:bidi="ar"/>
              </w:rPr>
              <w:t>省医保药品目录</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67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jc w:val="left"/>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2364"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jc w:val="center"/>
              <w:rPr>
                <w:rFonts w:hint="eastAsia" w:ascii="宋体" w:hAnsi="宋体" w:eastAsia="宋体" w:cs="宋体"/>
                <w:b/>
                <w:bCs/>
                <w:i w:val="0"/>
                <w:iCs w:val="0"/>
                <w:color w:val="000000"/>
                <w:sz w:val="21"/>
                <w:szCs w:val="21"/>
                <w:u w:val="none"/>
              </w:rPr>
            </w:pPr>
          </w:p>
        </w:tc>
        <w:tc>
          <w:tcPr>
            <w:tcW w:w="3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（2）已取得药物临床试验批件</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67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jc w:val="left"/>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2364"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jc w:val="center"/>
              <w:rPr>
                <w:rFonts w:hint="eastAsia" w:ascii="宋体" w:hAnsi="宋体" w:eastAsia="宋体" w:cs="宋体"/>
                <w:b/>
                <w:bCs/>
                <w:i w:val="0"/>
                <w:iCs w:val="0"/>
                <w:color w:val="000000"/>
                <w:sz w:val="21"/>
                <w:szCs w:val="21"/>
                <w:u w:val="none"/>
              </w:rPr>
            </w:pPr>
          </w:p>
        </w:tc>
        <w:tc>
          <w:tcPr>
            <w:tcW w:w="3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numPr>
                <w:ilvl w:val="0"/>
                <w:numId w:val="0"/>
              </w:numPr>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000000"/>
                <w:sz w:val="21"/>
                <w:szCs w:val="21"/>
                <w:u w:val="none"/>
              </w:rPr>
            </w:pPr>
            <w:r>
              <w:rPr>
                <w:rStyle w:val="8"/>
                <w:rFonts w:hint="eastAsia" w:ascii="宋体" w:hAnsi="宋体" w:eastAsia="宋体" w:cs="宋体"/>
                <w:b w:val="0"/>
                <w:bCs w:val="0"/>
                <w:color w:val="000000"/>
                <w:sz w:val="21"/>
                <w:szCs w:val="21"/>
                <w:lang w:val="en-US" w:eastAsia="zh-CN" w:bidi="ar"/>
              </w:rPr>
              <w:t>（3）制剂符合疾病、病种的市场需求，已获得处方组方、工艺发明专利；或有相关资料支撑其为申报单位独家拥有且产权清晰的产品</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67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jc w:val="left"/>
              <w:rPr>
                <w:rFonts w:hint="eastAsia" w:ascii="宋体" w:hAnsi="宋体" w:eastAsia="宋体" w:cs="宋体"/>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2364"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jc w:val="center"/>
              <w:rPr>
                <w:rFonts w:hint="eastAsia" w:ascii="宋体" w:hAnsi="宋体" w:eastAsia="宋体" w:cs="宋体"/>
                <w:b/>
                <w:bCs/>
                <w:i w:val="0"/>
                <w:iCs w:val="0"/>
                <w:color w:val="000000"/>
                <w:sz w:val="21"/>
                <w:szCs w:val="21"/>
                <w:u w:val="none"/>
              </w:rPr>
            </w:pPr>
          </w:p>
        </w:tc>
        <w:tc>
          <w:tcPr>
            <w:tcW w:w="3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000000"/>
                <w:sz w:val="21"/>
                <w:szCs w:val="21"/>
                <w:u w:val="none"/>
                <w:lang w:eastAsia="zh-CN"/>
              </w:rPr>
            </w:pPr>
            <w:r>
              <w:rPr>
                <w:rStyle w:val="8"/>
                <w:rFonts w:hint="eastAsia" w:ascii="宋体" w:hAnsi="宋体" w:eastAsia="宋体" w:cs="宋体"/>
                <w:color w:val="000000"/>
                <w:sz w:val="21"/>
                <w:szCs w:val="21"/>
                <w:lang w:bidi="ar"/>
              </w:rPr>
              <w:t>（4）获得</w:t>
            </w:r>
            <w:r>
              <w:rPr>
                <w:rFonts w:hint="eastAsia" w:ascii="宋体" w:hAnsi="宋体" w:eastAsia="宋体" w:cs="宋体"/>
                <w:color w:val="000000"/>
                <w:kern w:val="2"/>
                <w:sz w:val="21"/>
                <w:szCs w:val="21"/>
                <w:vertAlign w:val="baseline"/>
                <w:lang w:val="en-US" w:eastAsia="zh-CN" w:bidi="ar-SA"/>
              </w:rPr>
              <w:t>国家级或国家各部委科技成果类奖项三等奖及以上的</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67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ind w:firstLine="421" w:firstLineChars="200"/>
              <w:jc w:val="left"/>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一、国家级：</w:t>
            </w:r>
            <w:r>
              <w:rPr>
                <w:rFonts w:hint="eastAsia" w:ascii="宋体" w:hAnsi="宋体" w:eastAsia="宋体" w:cs="宋体"/>
                <w:b w:val="0"/>
                <w:bCs w:val="0"/>
                <w:i w:val="0"/>
                <w:iCs w:val="0"/>
                <w:color w:val="000000"/>
                <w:kern w:val="0"/>
                <w:sz w:val="21"/>
                <w:szCs w:val="21"/>
                <w:highlight w:val="none"/>
                <w:u w:val="none"/>
                <w:lang w:val="en-US" w:eastAsia="zh-CN" w:bidi="ar"/>
              </w:rPr>
              <w:t>1.一等奖，5分；2.二等奖，4分；3.三等奖，3分。</w:t>
            </w:r>
          </w:p>
          <w:p>
            <w:pPr>
              <w:keepNext w:val="0"/>
              <w:keepLines w:val="0"/>
              <w:pageBreakBefore w:val="0"/>
              <w:kinsoku/>
              <w:wordWrap/>
              <w:overflowPunct/>
              <w:topLinePunct w:val="0"/>
              <w:bidi w:val="0"/>
              <w:adjustRightInd/>
              <w:snapToGrid/>
              <w:spacing w:line="400" w:lineRule="exact"/>
              <w:ind w:firstLine="421" w:firstLineChars="200"/>
              <w:jc w:val="left"/>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二、部委级</w:t>
            </w:r>
            <w:r>
              <w:rPr>
                <w:rFonts w:hint="eastAsia" w:ascii="宋体" w:hAnsi="宋体" w:cs="宋体"/>
                <w:b/>
                <w:bCs/>
                <w:i w:val="0"/>
                <w:iCs w:val="0"/>
                <w:color w:val="000000"/>
                <w:kern w:val="0"/>
                <w:sz w:val="21"/>
                <w:szCs w:val="21"/>
                <w:highlight w:val="none"/>
                <w:u w:val="none"/>
                <w:lang w:val="en-US" w:eastAsia="zh-CN" w:bidi="ar"/>
              </w:rPr>
              <w:t>、省级</w:t>
            </w: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b w:val="0"/>
                <w:bCs w:val="0"/>
                <w:i w:val="0"/>
                <w:iCs w:val="0"/>
                <w:color w:val="000000"/>
                <w:kern w:val="0"/>
                <w:sz w:val="21"/>
                <w:szCs w:val="21"/>
                <w:highlight w:val="none"/>
                <w:u w:val="none"/>
                <w:lang w:val="en-US" w:eastAsia="zh-CN" w:bidi="ar"/>
              </w:rPr>
              <w:t>3分。</w:t>
            </w:r>
          </w:p>
        </w:tc>
      </w:tr>
    </w:tbl>
    <w:p>
      <w:pPr>
        <w:pStyle w:val="6"/>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备注：1.以1或0.5评分；</w:t>
      </w:r>
    </w:p>
    <w:p>
      <w:pPr>
        <w:pStyle w:val="6"/>
        <w:numPr>
          <w:ilvl w:val="0"/>
          <w:numId w:val="0"/>
        </w:numPr>
        <w:ind w:right="0" w:rightChars="0" w:firstLine="840" w:firstLineChars="3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2.使用历史计算时间至申报截止时间，其他年度、近几年</w:t>
      </w:r>
      <w:r>
        <w:rPr>
          <w:rFonts w:hint="eastAsia" w:ascii="仿宋" w:hAnsi="仿宋" w:cs="仿宋"/>
          <w:color w:val="000000"/>
          <w:sz w:val="28"/>
          <w:szCs w:val="28"/>
          <w:lang w:val="en-US" w:eastAsia="zh-CN"/>
        </w:rPr>
        <w:t>、几年内</w:t>
      </w:r>
      <w:r>
        <w:rPr>
          <w:rFonts w:hint="eastAsia" w:ascii="仿宋" w:hAnsi="仿宋" w:eastAsia="仿宋" w:cs="仿宋"/>
          <w:color w:val="000000"/>
          <w:sz w:val="28"/>
          <w:szCs w:val="28"/>
          <w:lang w:val="en-US" w:eastAsia="zh-CN"/>
        </w:rPr>
        <w:t>计算时间均为每年1月1日至12月31日。</w:t>
      </w:r>
    </w:p>
    <w:p>
      <w:pPr>
        <w:pStyle w:val="2"/>
        <w:rPr>
          <w:rFonts w:hint="default" w:ascii="仿宋" w:hAnsi="仿宋" w:eastAsia="仿宋" w:cs="仿宋"/>
          <w:color w:val="000000"/>
          <w:sz w:val="32"/>
          <w:szCs w:val="32"/>
          <w:lang w:val="en-US" w:eastAsia="zh-CN"/>
        </w:rPr>
      </w:pPr>
    </w:p>
    <w:p>
      <w:pPr>
        <w:rPr>
          <w:rFonts w:hint="default"/>
          <w:lang w:val="en-US" w:eastAsia="zh-CN"/>
        </w:rPr>
      </w:pPr>
    </w:p>
    <w:p/>
    <w:sectPr>
      <w:footerReference r:id="rId3" w:type="default"/>
      <w:pgSz w:w="16838" w:h="11906" w:orient="landscape"/>
      <w:pgMar w:top="1701" w:right="1440" w:bottom="1701" w:left="1440"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W/3CIgIAADc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L1v9wiICAAA3BAAADgAAAAAAAAABACAAAAA1AQAAZHJzL2Uyb0RvYy54&#10;bWxQSwUGAAAAAAYABgBZAQAAy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AA4655"/>
    <w:multiLevelType w:val="singleLevel"/>
    <w:tmpl w:val="77AA4655"/>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NTY3OTUyM2M4NzM4OGM1NWEwMTg0MGVjM2Q0OTkifQ=="/>
  </w:docVars>
  <w:rsids>
    <w:rsidRoot w:val="06195EE3"/>
    <w:rsid w:val="06195EE3"/>
    <w:rsid w:val="1FFFC710"/>
    <w:rsid w:val="3BED5665"/>
    <w:rsid w:val="651E08BE"/>
    <w:rsid w:val="6A755FC3"/>
    <w:rsid w:val="7DFFF7D4"/>
    <w:rsid w:val="DFFDFC2D"/>
    <w:rsid w:val="FF579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Arial" w:hAnsi="Arial" w:eastAsia="Arial" w:cs="Arial"/>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BodyText"/>
    <w:basedOn w:val="1"/>
    <w:qFormat/>
    <w:uiPriority w:val="0"/>
    <w:pPr>
      <w:autoSpaceDE w:val="0"/>
      <w:autoSpaceDN w:val="0"/>
      <w:spacing w:before="0" w:after="0" w:line="240" w:lineRule="auto"/>
      <w:ind w:left="0" w:right="0"/>
      <w:jc w:val="left"/>
    </w:pPr>
    <w:rPr>
      <w:rFonts w:ascii="宋体" w:hAnsi="宋体" w:eastAsia="仿宋" w:cs="宋体"/>
      <w:kern w:val="0"/>
      <w:sz w:val="22"/>
      <w:szCs w:val="22"/>
      <w:lang w:val="zh-CN" w:bidi="zh-CN"/>
    </w:rPr>
  </w:style>
  <w:style w:type="character" w:customStyle="1" w:styleId="7">
    <w:name w:val="font91"/>
    <w:basedOn w:val="5"/>
    <w:qFormat/>
    <w:uiPriority w:val="0"/>
    <w:rPr>
      <w:rFonts w:hint="eastAsia" w:ascii="仿宋" w:hAnsi="仿宋" w:eastAsia="仿宋" w:cs="仿宋"/>
      <w:color w:val="FF0000"/>
      <w:sz w:val="32"/>
      <w:szCs w:val="32"/>
      <w:u w:val="none"/>
    </w:rPr>
  </w:style>
  <w:style w:type="character" w:customStyle="1" w:styleId="8">
    <w:name w:val="font41"/>
    <w:basedOn w:val="5"/>
    <w:qFormat/>
    <w:uiPriority w:val="0"/>
    <w:rPr>
      <w:rFonts w:hint="eastAsia" w:ascii="仿宋" w:hAnsi="仿宋" w:eastAsia="仿宋" w:cs="仿宋"/>
      <w:color w:val="000000"/>
      <w:sz w:val="32"/>
      <w:szCs w:val="32"/>
      <w:u w:val="none"/>
    </w:rPr>
  </w:style>
  <w:style w:type="paragraph" w:customStyle="1" w:styleId="9">
    <w:name w:val="List Paragraph1"/>
    <w:basedOn w:val="1"/>
    <w:qFormat/>
    <w:uiPriority w:val="34"/>
    <w:pPr>
      <w:ind w:firstLine="420" w:firstLineChars="200"/>
    </w:pPr>
  </w:style>
  <w:style w:type="character" w:customStyle="1" w:styleId="10">
    <w:name w:val="font51"/>
    <w:basedOn w:val="5"/>
    <w:qFormat/>
    <w:uiPriority w:val="0"/>
    <w:rPr>
      <w:rFonts w:hint="eastAsia" w:ascii="仿宋" w:hAnsi="仿宋" w:eastAsia="仿宋" w:cs="仿宋"/>
      <w:color w:val="000000"/>
      <w:sz w:val="32"/>
      <w:szCs w:val="32"/>
      <w:u w:val="none"/>
    </w:rPr>
  </w:style>
  <w:style w:type="character" w:customStyle="1" w:styleId="11">
    <w:name w:val="font131"/>
    <w:basedOn w:val="5"/>
    <w:qFormat/>
    <w:uiPriority w:val="0"/>
    <w:rPr>
      <w:rFonts w:hint="eastAsia" w:ascii="仿宋" w:hAnsi="仿宋" w:eastAsia="仿宋" w:cs="仿宋"/>
      <w:b/>
      <w:bCs/>
      <w:color w:val="FF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省食品药品监督管理局</Company>
  <Pages>1</Pages>
  <Words>0</Words>
  <Characters>0</Characters>
  <Lines>0</Lines>
  <Paragraphs>0</Paragraphs>
  <TotalTime>22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2023-03-29T19:37:00Z</dcterms:created>
  <dc:creator>沉默的肥羔羊</dc:creator>
  <cp:lastModifiedBy>user</cp:lastModifiedBy>
  <dcterms:modified xsi:type="dcterms:W3CDTF">2024-09-27T15:33:19Z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A2EC34DFE5EE4B37A82F29CA8FD7D9D3</vt:lpwstr>
  </property>
</Properties>
</file>